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R4-2205454</w:t>
      </w:r>
      <w:bookmarkStart w:id="56" w:name="_GoBack"/>
      <w:bookmarkEnd w:id="5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w:t>
      </w:r>
      <w:r>
        <w:rPr>
          <w:rFonts w:hint="eastAsia" w:ascii="Arial" w:hAnsi="Arial" w:cs="Arial"/>
          <w:b/>
          <w:sz w:val="24"/>
          <w:szCs w:val="24"/>
          <w:highlight w:val="none"/>
        </w:rPr>
        <w:t>.</w:t>
      </w:r>
      <w:r>
        <w:rPr>
          <w:rFonts w:hint="eastAsia" w:ascii="Arial" w:hAnsi="Arial" w:cs="Arial"/>
          <w:b/>
          <w:sz w:val="24"/>
          <w:szCs w:val="24"/>
          <w:highlight w:val="none"/>
          <w:lang w:val="en-US" w:eastAsia="zh-CN"/>
        </w:rPr>
        <w:t>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UE RF requirements for 6425-7125MHz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RAN#94e meeting, the WID on introduction of 6GHz NR licensed bands </w:t>
      </w:r>
      <w:r>
        <w:rPr>
          <w:rFonts w:hint="eastAsia"/>
          <w:color w:val="000000"/>
          <w:u w:val="none" w:color="000000"/>
          <w:lang w:val="en-US" w:eastAsia="zh-CN"/>
        </w:rPr>
        <w:t>was kicked off based on the RCC LS</w:t>
      </w:r>
      <w:r>
        <w:rPr>
          <w:rFonts w:eastAsia="Times New Roman"/>
          <w:color w:val="000000"/>
          <w:u w:val="none" w:color="000000"/>
          <w:lang w:val="en-US"/>
        </w:rPr>
        <w:t>.</w:t>
      </w:r>
      <w:r>
        <w:rPr>
          <w:rFonts w:hint="eastAsia"/>
          <w:color w:val="000000"/>
          <w:u w:val="none" w:color="000000"/>
          <w:lang w:val="en-US" w:eastAsia="zh-CN"/>
        </w:rPr>
        <w:t xml:space="preserve"> In the last RAN4 meeting, there were some initial discussions on UE RF requirements for licensed band 6425-7125MHz, however there are some remaining issues left for further discussions. In this contribution, we want to share further inputs from UE RF requirements perspectives based on the discussion in SI phase.</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14"/>
      <w:bookmarkStart w:id="2" w:name="OLE_LINK20"/>
      <w:bookmarkStart w:id="3" w:name="OLE_LINK13"/>
      <w:bookmarkStart w:id="4" w:name="OLE_LINK10"/>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2.1 Tx requirements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b w:val="0"/>
          <w:bCs w:val="0"/>
          <w:sz w:val="21"/>
          <w:szCs w:val="21"/>
          <w:highlight w:val="none"/>
          <w:lang w:val="en-US" w:eastAsia="zh-CN"/>
        </w:rPr>
      </w:pPr>
      <w:r>
        <w:rPr>
          <w:rFonts w:hint="eastAsia"/>
          <w:b w:val="0"/>
          <w:bCs w:val="0"/>
          <w:sz w:val="21"/>
          <w:szCs w:val="21"/>
          <w:highlight w:val="none"/>
          <w:lang w:val="en-US" w:eastAsia="zh-CN"/>
        </w:rPr>
        <w:t>2.1.1 U</w:t>
      </w:r>
      <w:r>
        <w:rPr>
          <w:rFonts w:hint="eastAsia" w:eastAsia="宋体"/>
          <w:b w:val="0"/>
          <w:bCs w:val="0"/>
          <w:sz w:val="21"/>
          <w:szCs w:val="21"/>
          <w:highlight w:val="none"/>
          <w:lang w:val="en-US" w:eastAsia="zh-CN"/>
        </w:rPr>
        <w:t>E Transmitter power</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eastAsia"/>
          <w:b w:val="0"/>
          <w:bCs w:val="0"/>
          <w:sz w:val="21"/>
          <w:szCs w:val="21"/>
          <w:highlight w:val="none"/>
          <w:lang w:val="en-US" w:eastAsia="zh-CN"/>
        </w:rPr>
      </w:pPr>
      <w:r>
        <w:rPr>
          <w:rFonts w:hint="eastAsia"/>
          <w:b w:val="0"/>
          <w:bCs w:val="0"/>
          <w:sz w:val="21"/>
          <w:szCs w:val="21"/>
          <w:highlight w:val="none"/>
          <w:lang w:val="en-US" w:eastAsia="zh-CN"/>
        </w:rPr>
        <w:t>2.1.1.1 UE maximum output power</w:t>
      </w:r>
    </w:p>
    <w:p>
      <w:pPr>
        <w:rPr>
          <w:rFonts w:hint="default"/>
          <w:lang w:val="en-US" w:eastAsia="zh-CN"/>
        </w:rPr>
      </w:pPr>
      <w:r>
        <w:rPr>
          <w:rFonts w:hint="eastAsia"/>
          <w:lang w:val="en-US" w:eastAsia="zh-CN"/>
        </w:rPr>
        <w:t xml:space="preserve">In the last RAN4 meeting, there were the following tentative agreement listed in WF [3]. With both default PC3 and PC2 defined in licensed 6GHz band, we are supportive on this proposal especially considering </w:t>
      </w:r>
      <w:r>
        <w:rPr>
          <w:rFonts w:hint="eastAsia" w:ascii="Times New Roman" w:hAnsi="Times New Roman" w:cs="Times New Roman"/>
          <w:lang w:val="en-US" w:eastAsia="zh-CN"/>
        </w:rPr>
        <w:t xml:space="preserve">UE PC3 23dBm </w:t>
      </w:r>
      <w:r>
        <w:rPr>
          <w:rFonts w:hint="eastAsia" w:cs="Times New Roman"/>
          <w:lang w:val="en-US" w:eastAsia="zh-CN"/>
        </w:rPr>
        <w:t xml:space="preserve">had already been </w:t>
      </w:r>
      <w:r>
        <w:rPr>
          <w:rFonts w:hint="eastAsia" w:ascii="Times New Roman" w:hAnsi="Times New Roman" w:cs="Times New Roman"/>
          <w:lang w:val="en-US" w:eastAsia="zh-CN"/>
        </w:rPr>
        <w:t>used for co-existence study</w:t>
      </w:r>
      <w:r>
        <w:rPr>
          <w:rFonts w:hint="eastAsia" w:cs="Times New Roman"/>
          <w:lang w:val="en-US" w:eastAsia="zh-CN"/>
        </w:rPr>
        <w:t xml:space="preserve"> in SI phase and sent back to ITU-R for information</w:t>
      </w:r>
      <w:r>
        <w:rPr>
          <w:rFonts w:hint="eastAsia" w:ascii="Times New Roman" w:hAnsi="Times New Roman" w:cs="Times New Roman"/>
          <w:lang w:val="en-US" w:eastAsia="zh-CN"/>
        </w:rPr>
        <w:t xml:space="preserve">, </w:t>
      </w:r>
      <w:r>
        <w:rPr>
          <w:rFonts w:hint="eastAsia" w:cs="Times New Roman"/>
          <w:lang w:val="en-US" w:eastAsia="zh-CN"/>
        </w:rPr>
        <w:t>we don</w:t>
      </w:r>
      <w:r>
        <w:rPr>
          <w:rFonts w:hint="default" w:cs="Times New Roman"/>
          <w:lang w:val="en-US" w:eastAsia="zh-CN"/>
        </w:rPr>
        <w:t>’</w:t>
      </w:r>
      <w:r>
        <w:rPr>
          <w:rFonts w:hint="eastAsia" w:cs="Times New Roman"/>
          <w:lang w:val="en-US" w:eastAsia="zh-CN"/>
        </w:rPr>
        <w:t xml:space="preserve">t see any reason to revisit again at the current phase. </w:t>
      </w:r>
    </w:p>
    <w:p>
      <w:pPr>
        <w:pBdr>
          <w:top w:val="single" w:color="auto" w:sz="4" w:space="0"/>
        </w:pBdr>
        <w:rPr>
          <w:lang w:val="en-GB" w:eastAsia="zh-CN"/>
        </w:rPr>
      </w:pPr>
      <w:r>
        <w:rPr>
          <w:lang w:val="en-GB" w:eastAsia="zh-CN"/>
        </w:rPr>
        <w:t>Tentative agreement:</w:t>
      </w:r>
    </w:p>
    <w:p>
      <w:pPr>
        <w:rPr>
          <w:lang w:val="en-GB" w:eastAsia="zh-CN"/>
        </w:rPr>
      </w:pPr>
      <w:r>
        <w:rPr>
          <w:lang w:val="en-GB" w:eastAsia="zh-CN"/>
        </w:rPr>
        <w:tab/>
      </w:r>
      <w:r>
        <w:rPr>
          <w:iCs/>
          <w:lang w:eastAsia="zh-CN"/>
        </w:rPr>
        <w:t>Specify PC3 1 Tx (FFS if 2Tx) as first priority and default power class.</w:t>
      </w:r>
    </w:p>
    <w:p>
      <w:pPr>
        <w:ind w:firstLine="720"/>
        <w:rPr>
          <w:iCs/>
          <w:lang w:eastAsia="zh-CN"/>
        </w:rPr>
      </w:pPr>
      <w:r>
        <w:rPr>
          <w:iCs/>
          <w:lang w:eastAsia="zh-CN"/>
        </w:rPr>
        <w:t>Additionally specify PC2 (1Tx) if time allows (2Tx is FFS)</w:t>
      </w:r>
    </w:p>
    <w:p>
      <w:pPr>
        <w:ind w:left="720"/>
        <w:rPr>
          <w:lang w:val="en-GB" w:eastAsia="zh-CN"/>
        </w:rPr>
      </w:pPr>
      <w:r>
        <w:rPr>
          <w:iCs/>
          <w:lang w:eastAsia="zh-CN"/>
        </w:rPr>
        <w:t>Note: FFS if any clarification from RCC is needed on UE max output power, this is handled in the WF on general aspects.</w:t>
      </w:r>
    </w:p>
    <w:p>
      <w:pPr>
        <w:pBdr>
          <w:top w:val="single" w:color="auto" w:sz="4" w:space="0"/>
        </w:pBdr>
        <w:rPr>
          <w:rFonts w:hint="default" w:ascii="Times New Roman" w:hAnsi="Times New Roman" w:cs="Times New Roman"/>
          <w:lang w:val="en-US" w:eastAsia="zh-CN"/>
        </w:rPr>
      </w:pPr>
      <w:r>
        <w:rPr>
          <w:rFonts w:hint="eastAsia" w:cs="Times New Roman"/>
          <w:lang w:val="en-US" w:eastAsia="zh-CN"/>
        </w:rPr>
        <w:t>In addition, i</w:t>
      </w:r>
      <w:r>
        <w:rPr>
          <w:rFonts w:hint="eastAsia" w:ascii="Times New Roman" w:hAnsi="Times New Roman" w:cs="Times New Roman"/>
          <w:lang w:val="en-US" w:eastAsia="zh-CN"/>
        </w:rPr>
        <w:t>n the incoming LS from RCC regulation, user equipment should not exceed the limits established by Article 21of the Radio Regulations for the radio frequency band 6425-7125. To be more specifically according to</w:t>
      </w:r>
    </w:p>
    <w:p>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the article 21 of the RR as following, UE maximum output power should not exceed 43dBm. </w:t>
      </w:r>
      <w:r>
        <w:rPr>
          <w:rFonts w:hint="eastAsia" w:cs="Times New Roman"/>
          <w:lang w:val="en-US" w:eastAsia="zh-CN"/>
        </w:rPr>
        <w:t>From that perspective, we don</w:t>
      </w:r>
      <w:r>
        <w:rPr>
          <w:rFonts w:hint="default" w:cs="Times New Roman"/>
          <w:lang w:val="en-US" w:eastAsia="zh-CN"/>
        </w:rPr>
        <w:t>’</w:t>
      </w:r>
      <w:r>
        <w:rPr>
          <w:rFonts w:hint="eastAsia" w:cs="Times New Roman"/>
          <w:lang w:val="en-US" w:eastAsia="zh-CN"/>
        </w:rPr>
        <w:t xml:space="preserve">t see the big motivation to postpone the UE maximum output power discussion at the current phase.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Bdr>
                <w:bottom w:val="single" w:color="auto" w:sz="4" w:space="0"/>
              </w:pBdr>
              <w:spacing w:beforeLines="0" w:afterLines="0"/>
              <w:jc w:val="left"/>
              <w:rPr>
                <w:rFonts w:hint="default" w:ascii="TimesNewRomanPSMT" w:hAnsi="TimesNewRomanPSMT"/>
                <w:sz w:val="22"/>
                <w:vertAlign w:val="baseline"/>
                <w:lang w:val="en-US" w:eastAsia="zh-CN"/>
              </w:rPr>
            </w:pPr>
            <w:r>
              <w:rPr>
                <w:rFonts w:hint="eastAsia" w:ascii="TimesNewRomanPSMT" w:hAnsi="TimesNewRomanPSMT" w:eastAsia="TimesNewRomanPSMT"/>
                <w:sz w:val="22"/>
              </w:rPr>
              <w:t>The</w:t>
            </w:r>
            <w:r>
              <w:rPr>
                <w:rFonts w:hint="eastAsia" w:ascii="TimesNewRomanPSMT" w:hAnsi="TimesNewRomanPSMT"/>
                <w:sz w:val="22"/>
                <w:lang w:val="en-US" w:eastAsia="zh-CN"/>
              </w:rPr>
              <w:t xml:space="preserve"> </w:t>
            </w:r>
            <w:r>
              <w:rPr>
                <w:rFonts w:hint="eastAsia" w:ascii="TimesNewRomanPSMT" w:hAnsi="TimesNewRomanPSMT" w:eastAsia="TimesNewRomanPSMT"/>
                <w:sz w:val="22"/>
              </w:rPr>
              <w:t>power delivered by a transmitter to the antenna of a station in the fixed or mobile services shall not exceed</w:t>
            </w:r>
            <w:r>
              <w:rPr>
                <w:rFonts w:hint="eastAsia" w:ascii="TimesNewRomanPSMT" w:hAnsi="TimesNewRomanPSMT"/>
                <w:sz w:val="22"/>
                <w:lang w:val="en-US" w:eastAsia="zh-CN"/>
              </w:rPr>
              <w:t xml:space="preserve"> </w:t>
            </w:r>
            <w:r>
              <w:rPr>
                <w:rFonts w:hint="eastAsia" w:ascii="TimesNewRomanPSMT" w:hAnsi="TimesNewRomanPSMT" w:eastAsia="TimesNewRomanPSMT"/>
                <w:sz w:val="22"/>
              </w:rPr>
              <w:t>+13 dBW in frequency bands between 1 GHz and 10 GHz, or +10 dBW in frequency bands above 10 GHz</w:t>
            </w:r>
            <w:r>
              <w:rPr>
                <w:rFonts w:hint="eastAsia" w:ascii="TimesNewRomanPSMT" w:hAnsi="TimesNewRomanPSMT"/>
                <w:sz w:val="22"/>
                <w:lang w:val="en-US" w:eastAsia="zh-CN"/>
              </w:rPr>
              <w:t>.</w:t>
            </w:r>
          </w:p>
        </w:tc>
      </w:tr>
    </w:tbl>
    <w:p>
      <w:pPr>
        <w:rPr>
          <w:rFonts w:hint="default" w:cs="Times New Roman"/>
          <w:lang w:val="en-US" w:eastAsia="zh-CN"/>
        </w:rPr>
      </w:pPr>
      <w:r>
        <w:rPr>
          <w:rFonts w:hint="eastAsia" w:cs="Times New Roman"/>
          <w:lang w:val="en-US" w:eastAsia="zh-CN"/>
        </w:rPr>
        <w:t>Based on the above considerations, we made the following proposals:</w:t>
      </w:r>
    </w:p>
    <w:p>
      <w:pPr>
        <w:rPr>
          <w:lang w:val="en-GB" w:eastAsia="zh-CN"/>
        </w:rPr>
      </w:pPr>
      <w:r>
        <w:rPr>
          <w:rFonts w:hint="eastAsia" w:ascii="TimesNewRomanPSMT" w:hAnsi="TimesNewRomanPSMT"/>
          <w:b/>
          <w:bCs/>
          <w:sz w:val="21"/>
          <w:szCs w:val="21"/>
          <w:lang w:val="en-US" w:eastAsia="zh-CN"/>
        </w:rPr>
        <w:t xml:space="preserve">Proposal 1: </w:t>
      </w:r>
      <w:r>
        <w:rPr>
          <w:rFonts w:hint="eastAsia" w:ascii="TimesNewRomanPSMT" w:hAnsi="TimesNewRomanPSMT"/>
          <w:sz w:val="21"/>
          <w:szCs w:val="21"/>
          <w:lang w:val="en-US" w:eastAsia="zh-CN"/>
        </w:rPr>
        <w:t>to s</w:t>
      </w:r>
      <w:r>
        <w:rPr>
          <w:iCs/>
          <w:lang w:eastAsia="zh-CN"/>
        </w:rPr>
        <w:t>pecify PC3 1 Tx (</w:t>
      </w:r>
      <w:r>
        <w:rPr>
          <w:rFonts w:hint="eastAsia"/>
          <w:iCs/>
          <w:lang w:val="en-US" w:eastAsia="zh-CN"/>
        </w:rPr>
        <w:t xml:space="preserve">with both 1Tx and </w:t>
      </w:r>
      <w:r>
        <w:rPr>
          <w:iCs/>
          <w:lang w:eastAsia="zh-CN"/>
        </w:rPr>
        <w:t>2Tx) as first priority and default power class.</w:t>
      </w:r>
    </w:p>
    <w:p>
      <w:pPr>
        <w:ind w:firstLine="720"/>
        <w:rPr>
          <w:iCs/>
          <w:lang w:eastAsia="zh-CN"/>
        </w:rPr>
      </w:pPr>
      <w:r>
        <w:rPr>
          <w:iCs/>
          <w:lang w:eastAsia="zh-CN"/>
        </w:rPr>
        <w:t>Additionally specify PC2 (1Tx) if time allows (2Tx is FFS)</w:t>
      </w:r>
    </w:p>
    <w:p>
      <w:pPr>
        <w:pBdr>
          <w:top w:val="none" w:color="auto" w:sz="0" w:space="0"/>
          <w:left w:val="none" w:color="auto" w:sz="0" w:space="0"/>
          <w:bottom w:val="none" w:color="auto" w:sz="0" w:space="0"/>
          <w:right w:val="none" w:color="auto" w:sz="0" w:space="0"/>
          <w:between w:val="none" w:color="auto" w:sz="0" w:space="0"/>
        </w:pBdr>
        <w:spacing w:beforeLines="0" w:afterLines="0"/>
        <w:jc w:val="left"/>
        <w:rPr>
          <w:rFonts w:hint="default" w:ascii="TimesNewRomanPSMT" w:hAnsi="TimesNewRomanPSMT"/>
          <w:sz w:val="22"/>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default"/>
          <w:b w:val="0"/>
          <w:bCs w:val="0"/>
          <w:sz w:val="21"/>
          <w:szCs w:val="21"/>
          <w:highlight w:val="none"/>
          <w:lang w:val="en-US" w:eastAsia="zh-CN"/>
        </w:rPr>
      </w:pPr>
      <w:r>
        <w:rPr>
          <w:rFonts w:hint="eastAsia"/>
          <w:b w:val="0"/>
          <w:bCs w:val="0"/>
          <w:sz w:val="21"/>
          <w:szCs w:val="21"/>
          <w:highlight w:val="none"/>
          <w:lang w:val="en-US" w:eastAsia="zh-CN"/>
        </w:rPr>
        <w:t>2.1.1.2 UE MPR or A-MPR</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As ACLR requirement and UE SEM requirement was agreed to be relaxed based on simulation results of coexistence study. To be specifically, for ACLR requirement was agreed as 26dBc for 6425-7125MHz which is 4dB less than that of PC3 in other licensed band</w:t>
      </w:r>
      <w:r>
        <w:rPr>
          <w:rFonts w:hint="eastAsia" w:cs="Times New Roman"/>
          <w:lang w:val="en-US" w:eastAsia="zh-CN"/>
        </w:rPr>
        <w:t xml:space="preserve"> and 5dB less than that of PC2</w:t>
      </w:r>
      <w:r>
        <w:rPr>
          <w:rFonts w:hint="eastAsia" w:ascii="Times New Roman" w:hAnsi="Times New Roman" w:cs="Times New Roman"/>
          <w:lang w:val="en-US" w:eastAsia="zh-CN"/>
        </w:rPr>
        <w:t xml:space="preserve"> and SEM requirement</w:t>
      </w:r>
      <w:r>
        <w:rPr>
          <w:rFonts w:hint="eastAsia" w:ascii="Times New Roman" w:hAnsi="Times New Roman" w:cs="Times New Roman"/>
          <w:lang w:val="en-US" w:eastAsia="ja-JP"/>
        </w:rPr>
        <w:t xml:space="preserve"> is </w:t>
      </w:r>
      <w:r>
        <w:rPr>
          <w:rFonts w:hint="eastAsia" w:ascii="Times New Roman" w:hAnsi="Times New Roman" w:cs="Times New Roman"/>
          <w:lang w:val="en-US" w:eastAsia="zh-CN"/>
        </w:rPr>
        <w:t xml:space="preserve">also </w:t>
      </w:r>
      <w:r>
        <w:rPr>
          <w:rFonts w:hint="eastAsia" w:ascii="Times New Roman" w:hAnsi="Times New Roman" w:cs="Times New Roman"/>
          <w:lang w:val="en-US" w:eastAsia="ja-JP"/>
        </w:rPr>
        <w:t>relaxed general NR FR1 spectrum at the F</w:t>
      </w:r>
      <w:r>
        <w:rPr>
          <w:rFonts w:hint="eastAsia" w:ascii="Times New Roman" w:hAnsi="Times New Roman" w:cs="Times New Roman"/>
          <w:vertAlign w:val="subscript"/>
          <w:lang w:val="en-US" w:eastAsia="ja-JP"/>
        </w:rPr>
        <w:t>OOB</w:t>
      </w:r>
      <w:r>
        <w:rPr>
          <w:rFonts w:hint="eastAsia" w:ascii="Times New Roman" w:hAnsi="Times New Roman" w:cs="Times New Roman"/>
          <w:lang w:val="en-US" w:eastAsia="ja-JP"/>
        </w:rPr>
        <w:t xml:space="preserve"> edge ±0 </w:t>
      </w:r>
      <w:r>
        <w:rPr>
          <w:rFonts w:hint="eastAsia" w:cs="Times New Roman"/>
          <w:lang w:val="en-US" w:eastAsia="zh-CN"/>
        </w:rPr>
        <w:t>-</w:t>
      </w:r>
      <w:r>
        <w:rPr>
          <w:rFonts w:hint="eastAsia" w:ascii="Times New Roman" w:hAnsi="Times New Roman" w:cs="Times New Roman"/>
          <w:lang w:val="en-US" w:eastAsia="ja-JP"/>
        </w:rPr>
        <w:t>5 MHz by 3 dB.</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sz w:val="21"/>
          <w:szCs w:val="21"/>
          <w:lang w:val="en-US" w:eastAsia="zh-CN"/>
        </w:rPr>
      </w:pPr>
      <w:r>
        <w:rPr>
          <w:rFonts w:hint="eastAsia" w:cs="Times New Roman"/>
          <w:lang w:val="en-US" w:eastAsia="zh-CN"/>
        </w:rPr>
        <w:t xml:space="preserve">For </w:t>
      </w:r>
      <w:r>
        <w:rPr>
          <w:rFonts w:hint="eastAsia"/>
          <w:sz w:val="21"/>
          <w:szCs w:val="21"/>
          <w:lang w:val="en-US" w:eastAsia="zh-CN"/>
        </w:rPr>
        <w:t xml:space="preserve">6425-7125MHz, a new band should be defined, and </w:t>
      </w:r>
      <w:r>
        <w:rPr>
          <w:rFonts w:hint="eastAsia" w:cs="Times New Roman"/>
          <w:lang w:val="en-US" w:eastAsia="zh-CN"/>
        </w:rPr>
        <w:t xml:space="preserve">there are new ACLR and SEM requirements defined for this band. For MPR requirement, in general it was simulated based on the ACLR and SEM requirements, where the ACLR was used for the PA operating point calibration and SEM requirements was used as the criteria for the unwanted emission. When the ACLR and SEM are modified, the MPR would be re-evaluated in general. However, for </w:t>
      </w:r>
      <w:r>
        <w:rPr>
          <w:rFonts w:hint="eastAsia"/>
          <w:sz w:val="21"/>
          <w:szCs w:val="21"/>
          <w:lang w:val="en-US" w:eastAsia="zh-CN"/>
        </w:rPr>
        <w:t>6425-7125MHz, both ACLR and SEM are relaxed compared with the other PC3 bands.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eastAsia"/>
          <w:sz w:val="21"/>
          <w:szCs w:val="21"/>
          <w:lang w:val="en-US" w:eastAsia="zh-CN"/>
        </w:rPr>
        <w:t xml:space="preserve">Actually, MPR was used for a UE to meet the </w:t>
      </w:r>
      <w:r>
        <w:rPr>
          <w:rFonts w:hint="eastAsia" w:cs="Times New Roman"/>
          <w:lang w:val="en-US" w:eastAsia="zh-CN"/>
        </w:rPr>
        <w:t xml:space="preserve">unwanted emission when UE PA operates at a high operating point due to PA non-linear characteristic. For the same transmission power, relaxation of ACLR and SEM means less MPR would be needed. Meanwhile, considering the current MPR requirements are defined as band agnostic, so we think the current MPR requirements can also apply to </w:t>
      </w:r>
      <w:r>
        <w:rPr>
          <w:rFonts w:hint="eastAsia"/>
          <w:sz w:val="21"/>
          <w:szCs w:val="21"/>
          <w:lang w:val="en-US" w:eastAsia="zh-CN"/>
        </w:rPr>
        <w:t xml:space="preserve">6425-7125MHz to meet the more relaxed </w:t>
      </w:r>
      <w:r>
        <w:rPr>
          <w:rFonts w:hint="eastAsia" w:cs="Times New Roman"/>
          <w:lang w:val="en-US" w:eastAsia="zh-CN"/>
        </w:rPr>
        <w:t>ACLR and SEM requirements.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From the above perspective, MPR requirement requirement might be necessary to be revisited. Regarding A-MPR requirement, it would depend on the regulatory requirement.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sz w:val="21"/>
          <w:szCs w:val="21"/>
          <w:lang w:val="en-US" w:eastAsia="zh-CN"/>
        </w:rPr>
      </w:pPr>
      <w:r>
        <w:rPr>
          <w:rFonts w:hint="eastAsia"/>
          <w:b/>
          <w:bCs/>
          <w:sz w:val="21"/>
          <w:szCs w:val="21"/>
          <w:lang w:val="en-US" w:eastAsia="zh-CN"/>
        </w:rPr>
        <w:t xml:space="preserve">Proposal 2: </w:t>
      </w:r>
      <w:r>
        <w:rPr>
          <w:rFonts w:hint="eastAsia" w:ascii="Times New Roman" w:hAnsi="Times New Roman" w:cs="Times New Roman"/>
          <w:lang w:val="en-US" w:eastAsia="zh-CN"/>
        </w:rPr>
        <w:t>Current MPR r</w:t>
      </w:r>
      <w:r>
        <w:rPr>
          <w:rFonts w:hint="eastAsia"/>
          <w:sz w:val="21"/>
          <w:szCs w:val="21"/>
          <w:lang w:val="en-US" w:eastAsia="zh-CN"/>
        </w:rPr>
        <w:t xml:space="preserve">equirement for NR PC3 and PC2 </w:t>
      </w:r>
      <w:r>
        <w:rPr>
          <w:rFonts w:hint="eastAsia" w:cs="Times New Roman"/>
          <w:lang w:val="en-US" w:eastAsia="zh-CN"/>
        </w:rPr>
        <w:t xml:space="preserve">can apply to </w:t>
      </w:r>
      <w:r>
        <w:rPr>
          <w:rFonts w:hint="eastAsia"/>
          <w:sz w:val="21"/>
          <w:szCs w:val="21"/>
          <w:lang w:val="en-US" w:eastAsia="zh-CN"/>
        </w:rPr>
        <w:t>6425-7125MHz PC3.</w:t>
      </w:r>
    </w:p>
    <w:p>
      <w:pPr>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r>
        <w:rPr>
          <w:rFonts w:hint="eastAsia" w:eastAsia="宋体"/>
          <w:b w:val="0"/>
          <w:bCs w:val="0"/>
          <w:sz w:val="21"/>
          <w:szCs w:val="21"/>
          <w:highlight w:val="none"/>
          <w:lang w:val="en-US" w:eastAsia="zh-CN"/>
        </w:rPr>
        <w:t>2.1.</w:t>
      </w:r>
      <w:r>
        <w:rPr>
          <w:rFonts w:hint="eastAsia"/>
          <w:b w:val="0"/>
          <w:bCs w:val="0"/>
          <w:sz w:val="21"/>
          <w:szCs w:val="21"/>
          <w:highlight w:val="none"/>
          <w:lang w:val="en-US" w:eastAsia="zh-CN"/>
        </w:rPr>
        <w:t>2</w:t>
      </w:r>
      <w:r>
        <w:rPr>
          <w:rFonts w:hint="eastAsia" w:eastAsia="宋体"/>
          <w:b w:val="0"/>
          <w:bCs w:val="0"/>
          <w:sz w:val="21"/>
          <w:szCs w:val="21"/>
          <w:highlight w:val="none"/>
          <w:lang w:val="en-US" w:eastAsia="zh-CN"/>
        </w:rPr>
        <w:t xml:space="preserve"> Output RF spectrum emissions</w:t>
      </w:r>
    </w:p>
    <w:p>
      <w:pPr>
        <w:rPr>
          <w:rFonts w:hint="eastAsia"/>
          <w:kern w:val="0"/>
          <w:sz w:val="20"/>
          <w:szCs w:val="20"/>
          <w:highlight w:val="none"/>
          <w:lang w:val="en-US" w:eastAsia="zh-CN"/>
        </w:rPr>
      </w:pPr>
      <w:r>
        <w:rPr>
          <w:rFonts w:hint="eastAsia"/>
          <w:kern w:val="0"/>
          <w:sz w:val="20"/>
          <w:szCs w:val="20"/>
          <w:highlight w:val="none"/>
          <w:lang w:val="en-US" w:eastAsia="zh-CN"/>
        </w:rPr>
        <w:t>2.1.2.1 SEM</w:t>
      </w:r>
    </w:p>
    <w:p>
      <w:pPr>
        <w:rPr>
          <w:rFonts w:hint="eastAsia"/>
          <w:kern w:val="0"/>
          <w:sz w:val="20"/>
          <w:szCs w:val="20"/>
          <w:highlight w:val="none"/>
          <w:lang w:val="en-US" w:eastAsia="zh-CN"/>
        </w:rPr>
      </w:pPr>
      <w:r>
        <w:rPr>
          <w:rFonts w:hint="eastAsia"/>
          <w:kern w:val="0"/>
          <w:sz w:val="20"/>
          <w:szCs w:val="20"/>
          <w:highlight w:val="none"/>
          <w:lang w:val="en-US" w:eastAsia="zh-CN"/>
        </w:rPr>
        <w:t>Regarding the SEM requirement, we propose to follow the existing requirement defined in TR 38.921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use the existing SEM requirement defined in TR 38.921 for 6425-7125MHz;</w:t>
      </w:r>
    </w:p>
    <w:p>
      <w:pPr>
        <w:rPr>
          <w:rFonts w:hint="eastAsia"/>
          <w:kern w:val="0"/>
          <w:sz w:val="20"/>
          <w:szCs w:val="20"/>
          <w:highlight w:val="none"/>
          <w:lang w:val="en-US" w:eastAsia="zh-CN"/>
        </w:rPr>
      </w:pPr>
      <w:r>
        <w:rPr>
          <w:rFonts w:hint="eastAsia"/>
          <w:kern w:val="0"/>
          <w:sz w:val="20"/>
          <w:szCs w:val="20"/>
          <w:highlight w:val="none"/>
          <w:lang w:val="en-US" w:eastAsia="zh-CN"/>
        </w:rPr>
        <w:t>2.1.2.2 ACLR</w:t>
      </w:r>
    </w:p>
    <w:p>
      <w:pPr>
        <w:rPr>
          <w:rFonts w:hint="eastAsia"/>
          <w:kern w:val="0"/>
          <w:sz w:val="20"/>
          <w:szCs w:val="20"/>
          <w:highlight w:val="none"/>
          <w:lang w:val="en-US" w:eastAsia="zh-CN"/>
        </w:rPr>
      </w:pPr>
      <w:r>
        <w:rPr>
          <w:rFonts w:hint="eastAsia"/>
          <w:kern w:val="0"/>
          <w:sz w:val="20"/>
          <w:szCs w:val="20"/>
          <w:highlight w:val="none"/>
          <w:lang w:val="en-US" w:eastAsia="zh-CN"/>
        </w:rPr>
        <w:t>Similar as the SEM requirement, we propose to follow the existing ACLR requirement defined in TR 38.921 for 6425-7125MHz for PC3 and 27dBc for PC2 .</w:t>
      </w:r>
    </w:p>
    <w:p>
      <w:pPr>
        <w:rPr>
          <w:rFonts w:hint="default"/>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xml:space="preserve"> to use the existing ACLR 26dBc requirement defined in TR 38.921 for 6425-7125MHz for PC3 and 27dBc for PC2.</w:t>
      </w:r>
    </w:p>
    <w:p>
      <w:pPr>
        <w:rPr>
          <w:rFonts w:hint="default"/>
          <w:kern w:val="0"/>
          <w:sz w:val="20"/>
          <w:szCs w:val="20"/>
          <w:highlight w:val="none"/>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kern w:val="0"/>
          <w:sz w:val="20"/>
          <w:szCs w:val="20"/>
          <w:highlight w:val="none"/>
        </w:rPr>
      </w:pPr>
      <w:r>
        <w:rPr>
          <w:rFonts w:hint="eastAsia" w:eastAsia="宋体"/>
          <w:b w:val="0"/>
          <w:bCs w:val="0"/>
          <w:sz w:val="24"/>
          <w:szCs w:val="24"/>
          <w:highlight w:val="none"/>
          <w:lang w:val="en-US" w:eastAsia="zh-CN"/>
        </w:rPr>
        <w:t>2.2 Rx requirements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5" w:name="_Toc45888387"/>
      <w:bookmarkStart w:id="6" w:name="_Toc29802339"/>
      <w:bookmarkStart w:id="7" w:name="_Toc29802964"/>
      <w:bookmarkStart w:id="8" w:name="_Toc76509483"/>
      <w:bookmarkStart w:id="9" w:name="_Toc45888986"/>
      <w:bookmarkStart w:id="10" w:name="_Toc76718473"/>
      <w:bookmarkStart w:id="11" w:name="_Toc68231037"/>
      <w:bookmarkStart w:id="12" w:name="_Toc61367704"/>
      <w:bookmarkStart w:id="13" w:name="_Toc75467461"/>
      <w:bookmarkStart w:id="14" w:name="_Toc37251480"/>
      <w:bookmarkStart w:id="15" w:name="_Toc29801915"/>
      <w:bookmarkStart w:id="16" w:name="_Toc36107706"/>
      <w:bookmarkStart w:id="17" w:name="_Toc69084450"/>
      <w:bookmarkStart w:id="18" w:name="_Toc21344428"/>
      <w:bookmarkStart w:id="19" w:name="_Toc61373087"/>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1</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Reference sensitivity</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rPr>
          <w:rFonts w:hint="default"/>
          <w:kern w:val="0"/>
          <w:sz w:val="20"/>
          <w:szCs w:val="20"/>
          <w:highlight w:val="none"/>
          <w:lang w:val="en-US" w:eastAsia="zh-CN"/>
        </w:rPr>
      </w:pPr>
      <w:bookmarkStart w:id="20" w:name="_Toc61367747"/>
      <w:bookmarkStart w:id="21" w:name="_Toc69084493"/>
      <w:bookmarkStart w:id="22" w:name="_Toc76718518"/>
      <w:bookmarkStart w:id="23" w:name="_Toc76509528"/>
      <w:bookmarkStart w:id="24" w:name="_Toc45889021"/>
      <w:bookmarkStart w:id="25" w:name="_Toc75467506"/>
      <w:bookmarkStart w:id="26" w:name="_Toc61373130"/>
      <w:bookmarkStart w:id="27" w:name="_Toc45888422"/>
      <w:bookmarkStart w:id="28" w:name="_Toc68231080"/>
      <w:r>
        <w:rPr>
          <w:rFonts w:hint="eastAsia"/>
          <w:kern w:val="0"/>
          <w:sz w:val="20"/>
          <w:szCs w:val="20"/>
          <w:highlight w:val="none"/>
          <w:lang w:val="en-US" w:eastAsia="zh-CN"/>
        </w:rPr>
        <w:t xml:space="preserve">Regarding REFSENS for 6425-7125MHz, this is highly dependent on the UE noise figure. In Rel-17 SI phase, it was agreed to use 9dB as baseline and 13dB as optional assumption for coexistence study. If noise figure 10dB is agreeable, then UE REFSENS for n78 or n79 could be reused for 6425-7125MHz except for channel bandwidth not supported for 6425-7125MHz. </w:t>
      </w:r>
    </w:p>
    <w:p>
      <w:pPr>
        <w:rPr>
          <w:rFonts w:hint="default"/>
          <w:kern w:val="0"/>
          <w:sz w:val="20"/>
          <w:szCs w:val="20"/>
          <w:highlight w:val="none"/>
          <w:lang w:val="en-US" w:eastAsia="zh-CN"/>
        </w:rPr>
      </w:pPr>
      <w:r>
        <w:rPr>
          <w:rFonts w:hint="eastAsia"/>
          <w:b/>
          <w:bCs/>
          <w:kern w:val="0"/>
          <w:sz w:val="20"/>
          <w:szCs w:val="20"/>
          <w:highlight w:val="none"/>
          <w:lang w:val="en-US" w:eastAsia="zh-CN"/>
        </w:rPr>
        <w:t>Observation 1:</w:t>
      </w:r>
      <w:r>
        <w:rPr>
          <w:rFonts w:hint="eastAsia"/>
          <w:kern w:val="0"/>
          <w:sz w:val="20"/>
          <w:szCs w:val="20"/>
          <w:highlight w:val="none"/>
          <w:lang w:val="en-US" w:eastAsia="zh-CN"/>
        </w:rPr>
        <w:t xml:space="preserve"> If noise figure 10dB is agreeable, then UE REFSENS for n78 or n79 could be reused for 6425-7125MHz except for channel bandwidth not supported for 6425-7125MHz.</w:t>
      </w:r>
    </w:p>
    <w:bookmarkEnd w:id="20"/>
    <w:bookmarkEnd w:id="21"/>
    <w:bookmarkEnd w:id="22"/>
    <w:bookmarkEnd w:id="23"/>
    <w:bookmarkEnd w:id="24"/>
    <w:bookmarkEnd w:id="25"/>
    <w:bookmarkEnd w:id="26"/>
    <w:bookmarkEnd w:id="27"/>
    <w:bookmarkEnd w:id="28"/>
    <w:p>
      <w:pPr>
        <w:rPr>
          <w:rFonts w:hint="eastAsia"/>
          <w:kern w:val="0"/>
          <w:sz w:val="20"/>
          <w:szCs w:val="20"/>
          <w:highlight w:val="none"/>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29" w:name="_Toc76718528"/>
      <w:bookmarkStart w:id="30" w:name="_Toc45888432"/>
      <w:bookmarkStart w:id="31" w:name="_Toc68231090"/>
      <w:bookmarkStart w:id="32" w:name="_Toc75467516"/>
      <w:bookmarkStart w:id="33" w:name="_Toc61367757"/>
      <w:bookmarkStart w:id="34" w:name="_Toc76509538"/>
      <w:bookmarkStart w:id="35" w:name="_Toc61373140"/>
      <w:bookmarkStart w:id="36" w:name="_Toc45889031"/>
      <w:bookmarkStart w:id="37" w:name="_Toc69084503"/>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2</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Adjacent channel selectivity</w:t>
      </w:r>
      <w:bookmarkEnd w:id="29"/>
      <w:bookmarkEnd w:id="30"/>
      <w:bookmarkEnd w:id="31"/>
      <w:bookmarkEnd w:id="32"/>
      <w:bookmarkEnd w:id="33"/>
      <w:bookmarkEnd w:id="34"/>
      <w:bookmarkEnd w:id="35"/>
      <w:bookmarkEnd w:id="36"/>
      <w:bookmarkEnd w:id="37"/>
    </w:p>
    <w:p>
      <w:pPr>
        <w:rPr>
          <w:rFonts w:hint="eastAsia"/>
          <w:kern w:val="0"/>
          <w:sz w:val="20"/>
          <w:szCs w:val="20"/>
          <w:highlight w:val="none"/>
          <w:lang w:val="en-US" w:eastAsia="zh-CN"/>
        </w:rPr>
      </w:pPr>
      <w:r>
        <w:rPr>
          <w:rFonts w:hint="eastAsia"/>
          <w:kern w:val="0"/>
          <w:sz w:val="20"/>
          <w:szCs w:val="20"/>
          <w:highlight w:val="none"/>
          <w:lang w:val="en-US" w:eastAsia="zh-CN"/>
        </w:rPr>
        <w:t>For ACS requirement, similar as transmitter SEM and ACLR requirement, it</w:t>
      </w:r>
      <w:r>
        <w:rPr>
          <w:rFonts w:hint="default"/>
          <w:kern w:val="0"/>
          <w:sz w:val="20"/>
          <w:szCs w:val="20"/>
          <w:highlight w:val="none"/>
          <w:lang w:val="en-US" w:eastAsia="zh-CN"/>
        </w:rPr>
        <w:t>’</w:t>
      </w:r>
      <w:r>
        <w:rPr>
          <w:rFonts w:hint="eastAsia"/>
          <w:kern w:val="0"/>
          <w:sz w:val="20"/>
          <w:szCs w:val="20"/>
          <w:highlight w:val="none"/>
          <w:lang w:val="en-US" w:eastAsia="zh-CN"/>
        </w:rPr>
        <w:t xml:space="preserve">s proposed to use the existing requirement in TR 38.921 for 6425-7125MHz. </w:t>
      </w:r>
    </w:p>
    <w:p>
      <w:pPr>
        <w:rPr>
          <w:rFonts w:hint="default"/>
          <w:kern w:val="0"/>
          <w:sz w:val="20"/>
          <w:szCs w:val="20"/>
          <w:highlight w:val="none"/>
          <w:lang w:val="en-US" w:eastAsia="zh-CN"/>
        </w:rPr>
      </w:pPr>
      <w:r>
        <w:rPr>
          <w:rFonts w:hint="eastAsia"/>
          <w:b/>
          <w:bCs/>
          <w:kern w:val="0"/>
          <w:sz w:val="20"/>
          <w:szCs w:val="20"/>
          <w:highlight w:val="none"/>
          <w:lang w:val="en-US" w:eastAsia="zh-CN"/>
        </w:rPr>
        <w:t>Proposal 5:</w:t>
      </w:r>
      <w:r>
        <w:rPr>
          <w:rFonts w:hint="eastAsia"/>
          <w:kern w:val="0"/>
          <w:sz w:val="20"/>
          <w:szCs w:val="20"/>
          <w:highlight w:val="none"/>
          <w:lang w:val="en-US" w:eastAsia="zh-CN"/>
        </w:rPr>
        <w:t xml:space="preserve"> to use the existing ACS requirement in TR 38.921 for 6425-7125MHz.-</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cs="Times New Roman"/>
          <w:b w:val="0"/>
          <w:bCs w:val="0"/>
          <w:sz w:val="21"/>
          <w:szCs w:val="21"/>
          <w:highlight w:val="none"/>
          <w:lang w:val="en-US" w:eastAsia="zh-CN"/>
        </w:rPr>
      </w:pPr>
      <w:bookmarkStart w:id="38" w:name="_Toc69084516"/>
      <w:bookmarkStart w:id="39" w:name="_Toc68231103"/>
      <w:bookmarkStart w:id="40" w:name="_Toc75467529"/>
      <w:bookmarkStart w:id="41" w:name="_Toc45888442"/>
      <w:bookmarkStart w:id="42" w:name="_Toc45889041"/>
      <w:bookmarkStart w:id="43" w:name="_Toc61373153"/>
      <w:bookmarkStart w:id="44" w:name="_Toc76509551"/>
      <w:bookmarkStart w:id="45" w:name="_Toc76718541"/>
      <w:bookmarkStart w:id="46" w:name="_Toc61367770"/>
      <w:r>
        <w:rPr>
          <w:rFonts w:hint="eastAsia" w:eastAsia="宋体" w:cs="Times New Roman"/>
          <w:b w:val="0"/>
          <w:bCs w:val="0"/>
          <w:sz w:val="21"/>
          <w:szCs w:val="21"/>
          <w:highlight w:val="none"/>
          <w:lang w:val="en-US" w:eastAsia="zh-CN"/>
        </w:rPr>
        <w:t>2.2.</w:t>
      </w:r>
      <w:r>
        <w:rPr>
          <w:rFonts w:hint="eastAsia" w:cs="Times New Roman"/>
          <w:b w:val="0"/>
          <w:bCs w:val="0"/>
          <w:sz w:val="21"/>
          <w:szCs w:val="21"/>
          <w:highlight w:val="none"/>
          <w:lang w:val="en-US" w:eastAsia="zh-CN"/>
        </w:rPr>
        <w:t>3</w:t>
      </w:r>
      <w:r>
        <w:rPr>
          <w:rFonts w:hint="eastAsia" w:eastAsia="宋体" w:cs="Times New Roman"/>
          <w:b w:val="0"/>
          <w:bCs w:val="0"/>
          <w:sz w:val="21"/>
          <w:szCs w:val="21"/>
          <w:highlight w:val="none"/>
          <w:lang w:val="en-US" w:eastAsia="zh-CN"/>
        </w:rPr>
        <w:tab/>
      </w:r>
      <w:r>
        <w:rPr>
          <w:rFonts w:hint="eastAsia" w:eastAsia="宋体" w:cs="Times New Roman"/>
          <w:b w:val="0"/>
          <w:bCs w:val="0"/>
          <w:sz w:val="21"/>
          <w:szCs w:val="21"/>
          <w:highlight w:val="none"/>
          <w:lang w:val="en-US" w:eastAsia="zh-CN"/>
        </w:rPr>
        <w:t>Blocking characteristics</w:t>
      </w:r>
      <w:bookmarkEnd w:id="38"/>
      <w:bookmarkEnd w:id="39"/>
      <w:bookmarkEnd w:id="40"/>
      <w:bookmarkEnd w:id="41"/>
      <w:bookmarkEnd w:id="42"/>
      <w:bookmarkEnd w:id="43"/>
      <w:bookmarkEnd w:id="44"/>
      <w:bookmarkEnd w:id="45"/>
      <w:bookmarkEnd w:id="46"/>
    </w:p>
    <w:p>
      <w:r>
        <w:t xml:space="preserve">The blocking characteristic specified in clause 7.6 of TS 38.101-1 [4] for frequency larger than 3300 MHz could be applied for 6425 – 7125 MHz. </w:t>
      </w:r>
    </w:p>
    <w:p>
      <w:pPr>
        <w:rPr>
          <w:rFonts w:hint="default"/>
          <w:kern w:val="0"/>
          <w:sz w:val="20"/>
          <w:szCs w:val="20"/>
          <w:highlight w:val="none"/>
          <w:lang w:val="en-US" w:eastAsia="zh-CN"/>
        </w:rPr>
      </w:pPr>
      <w:r>
        <w:rPr>
          <w:rFonts w:hint="eastAsia"/>
          <w:b/>
          <w:bCs/>
          <w:kern w:val="0"/>
          <w:sz w:val="20"/>
          <w:szCs w:val="20"/>
          <w:highlight w:val="none"/>
          <w:lang w:val="en-US" w:eastAsia="zh-CN"/>
        </w:rPr>
        <w:t>Proposal 6:</w:t>
      </w:r>
      <w:r>
        <w:rPr>
          <w:rFonts w:hint="eastAsia"/>
          <w:kern w:val="0"/>
          <w:sz w:val="20"/>
          <w:szCs w:val="20"/>
          <w:highlight w:val="none"/>
          <w:lang w:val="en-US" w:eastAsia="zh-CN"/>
        </w:rPr>
        <w:t xml:space="preserve"> to use the existing blocking requirement above 3300MHz in TS 38.101-1 for 6425-7125MHz.</w:t>
      </w:r>
    </w:p>
    <w:p>
      <w:pPr>
        <w:rPr>
          <w:rFonts w:hint="eastAsia"/>
          <w:kern w:val="0"/>
          <w:sz w:val="20"/>
          <w:szCs w:val="20"/>
          <w:highlight w:val="none"/>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47" w:name="_Toc75467571"/>
      <w:bookmarkStart w:id="48" w:name="_Toc61373195"/>
      <w:bookmarkStart w:id="49" w:name="_Toc61367812"/>
      <w:bookmarkStart w:id="50" w:name="_Toc68231145"/>
      <w:bookmarkStart w:id="51" w:name="_Toc69084558"/>
      <w:bookmarkStart w:id="52" w:name="_Toc76509593"/>
      <w:bookmarkStart w:id="53" w:name="_Toc45888476"/>
      <w:bookmarkStart w:id="54" w:name="_Toc76718583"/>
      <w:bookmarkStart w:id="55" w:name="_Toc45889075"/>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4</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Spurious response</w:t>
      </w:r>
      <w:bookmarkEnd w:id="47"/>
      <w:bookmarkEnd w:id="48"/>
      <w:bookmarkEnd w:id="49"/>
      <w:bookmarkEnd w:id="50"/>
      <w:bookmarkEnd w:id="51"/>
      <w:bookmarkEnd w:id="52"/>
      <w:bookmarkEnd w:id="53"/>
      <w:bookmarkEnd w:id="54"/>
      <w:bookmarkEnd w:id="55"/>
    </w:p>
    <w:p>
      <w:pPr>
        <w:rPr>
          <w:rFonts w:hint="eastAsia" w:ascii="Times New Roman" w:hAnsi="Times New Roman" w:cs="Times New Roman"/>
          <w:lang w:val="en-US" w:eastAsia="zh-CN"/>
        </w:rPr>
      </w:pPr>
      <w:r>
        <w:rPr>
          <w:rFonts w:hint="eastAsia" w:ascii="Times New Roman" w:hAnsi="Times New Roman" w:cs="Times New Roman"/>
          <w:lang w:val="en-US" w:eastAsia="zh-CN"/>
        </w:rPr>
        <w:t>Similar as blocking requirement, the spurious response requirement for frequency higher than 3300MHz could be applied for 6425-7125MHz.</w:t>
      </w:r>
    </w:p>
    <w:p>
      <w:pPr>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7</w:t>
      </w:r>
      <w:r>
        <w:rPr>
          <w:rFonts w:hint="eastAsia" w:ascii="Times New Roman" w:hAnsi="Times New Roman" w:cs="Times New Roman"/>
          <w:lang w:val="en-US" w:eastAsia="zh-CN"/>
        </w:rPr>
        <w:t xml:space="preserve"> </w:t>
      </w:r>
      <w:r>
        <w:rPr>
          <w:rFonts w:hint="eastAsia" w:ascii="Times New Roman" w:hAnsi="Times New Roman" w:cs="Times New Roman"/>
          <w:kern w:val="0"/>
          <w:sz w:val="20"/>
          <w:szCs w:val="20"/>
          <w:highlight w:val="none"/>
          <w:lang w:val="en-US" w:eastAsia="zh-CN"/>
        </w:rPr>
        <w:t xml:space="preserve">to use the existing spurious response requirement </w:t>
      </w:r>
      <w:r>
        <w:rPr>
          <w:rFonts w:hint="eastAsia"/>
          <w:kern w:val="0"/>
          <w:sz w:val="20"/>
          <w:szCs w:val="20"/>
          <w:highlight w:val="none"/>
          <w:lang w:val="en-US" w:eastAsia="zh-CN"/>
        </w:rPr>
        <w:t>above 3300MHz in TS 38.101-1</w:t>
      </w:r>
      <w:r>
        <w:rPr>
          <w:rFonts w:hint="eastAsia" w:ascii="Times New Roman" w:hAnsi="Times New Roman" w:cs="Times New Roman"/>
          <w:kern w:val="0"/>
          <w:sz w:val="20"/>
          <w:szCs w:val="20"/>
          <w:highlight w:val="none"/>
          <w:lang w:val="en-US" w:eastAsia="zh-CN"/>
        </w:rPr>
        <w:t xml:space="preserve"> for 6425-7125MHz.</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further considerations on UE RF requirements for 6425-7125MHz based on Rel-17 SI and proposals/observations are made as following:</w:t>
      </w:r>
    </w:p>
    <w:p>
      <w:pPr>
        <w:rPr>
          <w:lang w:val="en-GB" w:eastAsia="zh-CN"/>
        </w:rPr>
      </w:pPr>
      <w:r>
        <w:rPr>
          <w:rFonts w:hint="eastAsia" w:ascii="TimesNewRomanPSMT" w:hAnsi="TimesNewRomanPSMT"/>
          <w:b/>
          <w:bCs/>
          <w:sz w:val="21"/>
          <w:szCs w:val="21"/>
          <w:lang w:val="en-US" w:eastAsia="zh-CN"/>
        </w:rPr>
        <w:t xml:space="preserve">Proposal 1: </w:t>
      </w:r>
      <w:r>
        <w:rPr>
          <w:rFonts w:hint="eastAsia" w:ascii="TimesNewRomanPSMT" w:hAnsi="TimesNewRomanPSMT"/>
          <w:sz w:val="21"/>
          <w:szCs w:val="21"/>
          <w:lang w:val="en-US" w:eastAsia="zh-CN"/>
        </w:rPr>
        <w:t>to s</w:t>
      </w:r>
      <w:r>
        <w:rPr>
          <w:iCs/>
          <w:lang w:eastAsia="zh-CN"/>
        </w:rPr>
        <w:t>pecify PC3 1 Tx (</w:t>
      </w:r>
      <w:r>
        <w:rPr>
          <w:rFonts w:hint="eastAsia"/>
          <w:iCs/>
          <w:lang w:val="en-US" w:eastAsia="zh-CN"/>
        </w:rPr>
        <w:t xml:space="preserve">with both 1Tx and </w:t>
      </w:r>
      <w:r>
        <w:rPr>
          <w:iCs/>
          <w:lang w:eastAsia="zh-CN"/>
        </w:rPr>
        <w:t>2Tx) as first priority and default power class.</w:t>
      </w:r>
    </w:p>
    <w:p>
      <w:pPr>
        <w:ind w:firstLine="720"/>
        <w:rPr>
          <w:iCs/>
          <w:lang w:eastAsia="zh-CN"/>
        </w:rPr>
      </w:pPr>
      <w:r>
        <w:rPr>
          <w:iCs/>
          <w:lang w:eastAsia="zh-CN"/>
        </w:rPr>
        <w:t>Additionally specify PC2 (1Tx) if time allows (2Tx is FFS)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sz w:val="21"/>
          <w:szCs w:val="21"/>
          <w:lang w:val="en-US" w:eastAsia="zh-CN"/>
        </w:rPr>
      </w:pPr>
      <w:r>
        <w:rPr>
          <w:rFonts w:hint="eastAsia"/>
          <w:b/>
          <w:bCs/>
          <w:sz w:val="21"/>
          <w:szCs w:val="21"/>
          <w:lang w:val="en-US" w:eastAsia="zh-CN"/>
        </w:rPr>
        <w:t xml:space="preserve">Proposal 2: </w:t>
      </w:r>
      <w:r>
        <w:rPr>
          <w:rFonts w:hint="eastAsia" w:ascii="Times New Roman" w:hAnsi="Times New Roman" w:cs="Times New Roman"/>
          <w:lang w:val="en-US" w:eastAsia="zh-CN"/>
        </w:rPr>
        <w:t>Current MPR r</w:t>
      </w:r>
      <w:r>
        <w:rPr>
          <w:rFonts w:hint="eastAsia"/>
          <w:sz w:val="21"/>
          <w:szCs w:val="21"/>
          <w:lang w:val="en-US" w:eastAsia="zh-CN"/>
        </w:rPr>
        <w:t xml:space="preserve">equirement for NR PC3 and PC2 </w:t>
      </w:r>
      <w:r>
        <w:rPr>
          <w:rFonts w:hint="eastAsia" w:cs="Times New Roman"/>
          <w:lang w:val="en-US" w:eastAsia="zh-CN"/>
        </w:rPr>
        <w:t xml:space="preserve">can apply to </w:t>
      </w:r>
      <w:r>
        <w:rPr>
          <w:rFonts w:hint="eastAsia"/>
          <w:sz w:val="21"/>
          <w:szCs w:val="21"/>
          <w:lang w:val="en-US" w:eastAsia="zh-CN"/>
        </w:rPr>
        <w:t>6425-7125MHz PC3.</w:t>
      </w:r>
    </w:p>
    <w:p>
      <w:pPr>
        <w:rPr>
          <w:rFonts w:hint="default"/>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use the existing SEM requirement defined in TR 38.921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xml:space="preserve"> to use the existing ACLR 26dBc requirement defined in TR 38.921 for 6425-7125MHz for PC3 and 27dBc for PC2.</w:t>
      </w:r>
    </w:p>
    <w:p>
      <w:pPr>
        <w:rPr>
          <w:rFonts w:hint="default"/>
          <w:kern w:val="0"/>
          <w:sz w:val="20"/>
          <w:szCs w:val="20"/>
          <w:highlight w:val="none"/>
          <w:lang w:val="en-US" w:eastAsia="zh-CN"/>
        </w:rPr>
      </w:pPr>
      <w:r>
        <w:rPr>
          <w:rFonts w:hint="eastAsia"/>
          <w:b/>
          <w:bCs/>
          <w:kern w:val="0"/>
          <w:sz w:val="20"/>
          <w:szCs w:val="20"/>
          <w:highlight w:val="none"/>
          <w:lang w:val="en-US" w:eastAsia="zh-CN"/>
        </w:rPr>
        <w:t>Observation 1:</w:t>
      </w:r>
      <w:r>
        <w:rPr>
          <w:rFonts w:hint="eastAsia"/>
          <w:kern w:val="0"/>
          <w:sz w:val="20"/>
          <w:szCs w:val="20"/>
          <w:highlight w:val="none"/>
          <w:lang w:val="en-US" w:eastAsia="zh-CN"/>
        </w:rPr>
        <w:t xml:space="preserve"> If noise figure 10dB is agreeable, then UE REFSENS for n78 or n79 could be reused for 6425-7125MHz except for channel bandwidth not supported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5:</w:t>
      </w:r>
      <w:r>
        <w:rPr>
          <w:rFonts w:hint="eastAsia"/>
          <w:kern w:val="0"/>
          <w:sz w:val="20"/>
          <w:szCs w:val="20"/>
          <w:highlight w:val="none"/>
          <w:lang w:val="en-US" w:eastAsia="zh-CN"/>
        </w:rPr>
        <w:t xml:space="preserve"> to use the existing ACS requirement in TR 38.921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6:</w:t>
      </w:r>
      <w:r>
        <w:rPr>
          <w:rFonts w:hint="eastAsia"/>
          <w:kern w:val="0"/>
          <w:sz w:val="20"/>
          <w:szCs w:val="20"/>
          <w:highlight w:val="none"/>
          <w:lang w:val="en-US" w:eastAsia="zh-CN"/>
        </w:rPr>
        <w:t xml:space="preserve"> to use the existing blocking requirement above 3300MHz in TS 38.101-1 for 6425-7125MHz.</w:t>
      </w:r>
    </w:p>
    <w:p>
      <w:pPr>
        <w:rPr>
          <w:rFonts w:hint="eastAsia"/>
          <w:kern w:val="0"/>
          <w:sz w:val="20"/>
          <w:szCs w:val="20"/>
          <w:highlight w:val="none"/>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7</w:t>
      </w:r>
      <w:r>
        <w:rPr>
          <w:rFonts w:hint="eastAsia" w:ascii="Times New Roman" w:hAnsi="Times New Roman" w:cs="Times New Roman"/>
          <w:lang w:val="en-US" w:eastAsia="zh-CN"/>
        </w:rPr>
        <w:t xml:space="preserve"> </w:t>
      </w:r>
      <w:r>
        <w:rPr>
          <w:rFonts w:hint="eastAsia" w:ascii="Times New Roman" w:hAnsi="Times New Roman" w:cs="Times New Roman"/>
          <w:kern w:val="0"/>
          <w:sz w:val="20"/>
          <w:szCs w:val="20"/>
          <w:highlight w:val="none"/>
          <w:lang w:val="en-US" w:eastAsia="zh-CN"/>
        </w:rPr>
        <w:t xml:space="preserve">to use the existing spurious response requirement </w:t>
      </w:r>
      <w:r>
        <w:rPr>
          <w:rFonts w:hint="eastAsia"/>
          <w:kern w:val="0"/>
          <w:sz w:val="20"/>
          <w:szCs w:val="20"/>
          <w:highlight w:val="none"/>
          <w:lang w:val="en-US" w:eastAsia="zh-CN"/>
        </w:rPr>
        <w:t>above 3300MHz in TS 38.101-1</w:t>
      </w:r>
      <w:r>
        <w:rPr>
          <w:rFonts w:hint="eastAsia" w:ascii="Times New Roman" w:hAnsi="Times New Roman" w:cs="Times New Roman"/>
          <w:kern w:val="0"/>
          <w:sz w:val="20"/>
          <w:szCs w:val="20"/>
          <w:highlight w:val="none"/>
          <w:lang w:val="en-US" w:eastAsia="zh-CN"/>
        </w:rPr>
        <w:t xml:space="preserve"> for 6425-7125MHz.</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sz w:val="20"/>
          <w:szCs w:val="20"/>
          <w:highlight w:val="none"/>
        </w:rPr>
      </w:pPr>
      <w:r>
        <w:rPr>
          <w:sz w:val="20"/>
          <w:szCs w:val="20"/>
          <w:highlight w:val="none"/>
        </w:rPr>
        <w:t>TR 3</w:t>
      </w:r>
      <w:r>
        <w:rPr>
          <w:rFonts w:hint="eastAsia"/>
          <w:sz w:val="20"/>
          <w:szCs w:val="20"/>
          <w:highlight w:val="none"/>
          <w:lang w:val="en-US" w:eastAsia="zh-CN"/>
        </w:rPr>
        <w:t>8</w:t>
      </w:r>
      <w:r>
        <w:rPr>
          <w:sz w:val="20"/>
          <w:szCs w:val="20"/>
          <w:highlight w:val="none"/>
        </w:rPr>
        <w:t>.</w:t>
      </w:r>
      <w:r>
        <w:rPr>
          <w:rFonts w:hint="eastAsia"/>
          <w:sz w:val="20"/>
          <w:szCs w:val="20"/>
          <w:highlight w:val="none"/>
          <w:lang w:val="en-US" w:eastAsia="zh-CN"/>
        </w:rPr>
        <w:t>921</w:t>
      </w:r>
    </w:p>
    <w:p>
      <w:pPr>
        <w:pStyle w:val="50"/>
        <w:numPr>
          <w:ilvl w:val="0"/>
          <w:numId w:val="2"/>
        </w:numPr>
        <w:rPr>
          <w:rFonts w:eastAsia="宋体"/>
          <w:sz w:val="20"/>
          <w:szCs w:val="20"/>
          <w:highlight w:val="none"/>
          <w:lang w:val="en-US"/>
        </w:rPr>
      </w:pPr>
      <w:r>
        <w:rPr>
          <w:rFonts w:eastAsia="宋体"/>
          <w:sz w:val="20"/>
          <w:szCs w:val="20"/>
          <w:highlight w:val="none"/>
          <w:lang w:val="en-US"/>
        </w:rPr>
        <w:t>RP-213696, “Revised WID: Introduction of 6GHz NR licensed bands”, Huawei, HiSilicon</w:t>
      </w:r>
    </w:p>
    <w:p>
      <w:pPr>
        <w:pStyle w:val="50"/>
        <w:numPr>
          <w:ilvl w:val="0"/>
          <w:numId w:val="2"/>
        </w:numPr>
        <w:rPr>
          <w:rFonts w:eastAsia="宋体"/>
          <w:sz w:val="20"/>
          <w:szCs w:val="20"/>
          <w:highlight w:val="none"/>
          <w:lang w:val="en-US"/>
        </w:rPr>
      </w:pPr>
      <w:r>
        <w:rPr>
          <w:rFonts w:eastAsia="宋体"/>
          <w:sz w:val="20"/>
          <w:szCs w:val="20"/>
          <w:highlight w:val="none"/>
          <w:lang w:val="en-US"/>
        </w:rPr>
        <w:fldChar w:fldCharType="begin"/>
      </w:r>
      <w:r>
        <w:rPr>
          <w:rFonts w:eastAsia="宋体"/>
          <w:sz w:val="20"/>
          <w:szCs w:val="20"/>
          <w:highlight w:val="none"/>
          <w:lang w:val="en-US"/>
        </w:rPr>
        <w:instrText xml:space="preserve"> HYPERLINK "https://www.3gpp.org/ftp/tsg_ran/WG4_Radio/TSGR4_101-bis-e/Docs/R4-2202267.zip" </w:instrText>
      </w:r>
      <w:r>
        <w:rPr>
          <w:rFonts w:eastAsia="宋体"/>
          <w:sz w:val="20"/>
          <w:szCs w:val="20"/>
          <w:highlight w:val="none"/>
          <w:lang w:val="en-US"/>
        </w:rPr>
        <w:fldChar w:fldCharType="separate"/>
      </w:r>
      <w:r>
        <w:rPr>
          <w:rFonts w:eastAsia="宋体"/>
          <w:sz w:val="20"/>
          <w:szCs w:val="20"/>
          <w:highlight w:val="none"/>
          <w:lang w:val="en-US" w:eastAsia="zh-CN"/>
        </w:rPr>
        <w:t>R4-2202267</w:t>
      </w:r>
      <w:r>
        <w:rPr>
          <w:rFonts w:eastAsia="宋体"/>
          <w:sz w:val="20"/>
          <w:szCs w:val="20"/>
          <w:highlight w:val="none"/>
          <w:lang w:val="en-US" w:eastAsia="zh-CN"/>
        </w:rPr>
        <w:fldChar w:fldCharType="end"/>
      </w:r>
      <w:r>
        <w:rPr>
          <w:rFonts w:hint="eastAsia"/>
          <w:sz w:val="20"/>
          <w:szCs w:val="20"/>
          <w:highlight w:val="none"/>
          <w:lang w:val="en-US" w:eastAsia="zh-CN"/>
        </w:rPr>
        <w:t>,</w:t>
      </w:r>
      <w:r>
        <w:rPr>
          <w:rFonts w:eastAsia="宋体"/>
          <w:sz w:val="20"/>
          <w:szCs w:val="20"/>
          <w:highlight w:val="none"/>
          <w:lang w:val="en-US" w:eastAsia="zh-CN"/>
        </w:rPr>
        <w:t xml:space="preserve"> </w:t>
      </w:r>
      <w:r>
        <w:rPr>
          <w:rFonts w:hint="eastAsia" w:eastAsia="宋体"/>
          <w:sz w:val="20"/>
          <w:szCs w:val="20"/>
          <w:highlight w:val="none"/>
          <w:lang w:val="en-US" w:eastAsia="zh-CN"/>
        </w:rPr>
        <w:t>W</w:t>
      </w:r>
      <w:r>
        <w:rPr>
          <w:rFonts w:eastAsia="宋体"/>
          <w:sz w:val="20"/>
          <w:szCs w:val="20"/>
          <w:highlight w:val="none"/>
          <w:lang w:val="en-US" w:eastAsia="zh-CN"/>
        </w:rPr>
        <w:t xml:space="preserve">F on </w:t>
      </w:r>
      <w:r>
        <w:rPr>
          <w:rFonts w:eastAsia="宋体"/>
          <w:sz w:val="20"/>
          <w:szCs w:val="20"/>
          <w:highlight w:val="none"/>
          <w:lang w:val="en-US" w:eastAsia="en-GB"/>
        </w:rPr>
        <w:t>UE RF requirements</w:t>
      </w:r>
      <w:r>
        <w:rPr>
          <w:rFonts w:eastAsia="宋体"/>
          <w:sz w:val="20"/>
          <w:szCs w:val="20"/>
          <w:highlight w:val="none"/>
          <w:lang w:val="en-US" w:eastAsia="zh-CN"/>
        </w:rPr>
        <w:t xml:space="preserve"> for 6GHz licensed band</w:t>
      </w:r>
      <w:r>
        <w:rPr>
          <w:rFonts w:hint="eastAsia" w:eastAsia="宋体"/>
          <w:sz w:val="20"/>
          <w:szCs w:val="20"/>
          <w:highlight w:val="none"/>
          <w:lang w:val="en-US" w:eastAsia="zh-CN"/>
        </w:rPr>
        <w:t>, Approved.</w:t>
      </w:r>
      <w:r>
        <w:rPr>
          <w:rFonts w:eastAsia="宋体"/>
          <w:sz w:val="20"/>
          <w:szCs w:val="20"/>
          <w:highlight w:val="none"/>
          <w:lang w:val="en-US"/>
        </w:rPr>
        <w:t> </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1F56"/>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400"/>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97B"/>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CE598B"/>
    <w:rsid w:val="01D518FC"/>
    <w:rsid w:val="01E073E3"/>
    <w:rsid w:val="01E1598F"/>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93390"/>
    <w:rsid w:val="03FF3D36"/>
    <w:rsid w:val="041875C1"/>
    <w:rsid w:val="04252816"/>
    <w:rsid w:val="04376B0F"/>
    <w:rsid w:val="0444783F"/>
    <w:rsid w:val="044753DC"/>
    <w:rsid w:val="045E1DEE"/>
    <w:rsid w:val="04786ED3"/>
    <w:rsid w:val="048829D4"/>
    <w:rsid w:val="049A7389"/>
    <w:rsid w:val="049D2D71"/>
    <w:rsid w:val="04F47261"/>
    <w:rsid w:val="051034CD"/>
    <w:rsid w:val="051F43BC"/>
    <w:rsid w:val="05280DA4"/>
    <w:rsid w:val="053E1AC2"/>
    <w:rsid w:val="053E6A2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203FF"/>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D835FB"/>
    <w:rsid w:val="07DD018B"/>
    <w:rsid w:val="07E014BE"/>
    <w:rsid w:val="07E85751"/>
    <w:rsid w:val="07F678C7"/>
    <w:rsid w:val="0800676F"/>
    <w:rsid w:val="08171593"/>
    <w:rsid w:val="081C03D6"/>
    <w:rsid w:val="0835476E"/>
    <w:rsid w:val="08367FC2"/>
    <w:rsid w:val="084E0029"/>
    <w:rsid w:val="085C5A1D"/>
    <w:rsid w:val="085D6C7E"/>
    <w:rsid w:val="08611CAF"/>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106BB"/>
    <w:rsid w:val="092234B5"/>
    <w:rsid w:val="092C26C9"/>
    <w:rsid w:val="0953050B"/>
    <w:rsid w:val="09546457"/>
    <w:rsid w:val="09582472"/>
    <w:rsid w:val="0961236A"/>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A066AC6"/>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8604E"/>
    <w:rsid w:val="0ACD4245"/>
    <w:rsid w:val="0AD57FD6"/>
    <w:rsid w:val="0ADD7B55"/>
    <w:rsid w:val="0B110AC0"/>
    <w:rsid w:val="0B1157EF"/>
    <w:rsid w:val="0B1765E0"/>
    <w:rsid w:val="0B1C1D7C"/>
    <w:rsid w:val="0B22066E"/>
    <w:rsid w:val="0B2643BE"/>
    <w:rsid w:val="0B3F2432"/>
    <w:rsid w:val="0B4D5218"/>
    <w:rsid w:val="0B622E13"/>
    <w:rsid w:val="0B651A68"/>
    <w:rsid w:val="0B660175"/>
    <w:rsid w:val="0B717521"/>
    <w:rsid w:val="0B854F19"/>
    <w:rsid w:val="0B884E90"/>
    <w:rsid w:val="0B892782"/>
    <w:rsid w:val="0BB2460A"/>
    <w:rsid w:val="0BB41CFB"/>
    <w:rsid w:val="0BB53F3C"/>
    <w:rsid w:val="0BC739F0"/>
    <w:rsid w:val="0BDA6A2A"/>
    <w:rsid w:val="0BDB5584"/>
    <w:rsid w:val="0BE17727"/>
    <w:rsid w:val="0BF427F9"/>
    <w:rsid w:val="0C0C632D"/>
    <w:rsid w:val="0C120111"/>
    <w:rsid w:val="0C37145B"/>
    <w:rsid w:val="0C3C0AB0"/>
    <w:rsid w:val="0C4038F5"/>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939F4"/>
    <w:rsid w:val="0D6A353C"/>
    <w:rsid w:val="0D904522"/>
    <w:rsid w:val="0D907F37"/>
    <w:rsid w:val="0D976014"/>
    <w:rsid w:val="0DA060E8"/>
    <w:rsid w:val="0DC15DF5"/>
    <w:rsid w:val="0DC64CCA"/>
    <w:rsid w:val="0DCE36F3"/>
    <w:rsid w:val="0DD621E4"/>
    <w:rsid w:val="0DDE1317"/>
    <w:rsid w:val="0E0313B1"/>
    <w:rsid w:val="0E0D1A47"/>
    <w:rsid w:val="0E3217E8"/>
    <w:rsid w:val="0E387AA5"/>
    <w:rsid w:val="0E400D03"/>
    <w:rsid w:val="0E4C7E76"/>
    <w:rsid w:val="0E5E2B07"/>
    <w:rsid w:val="0E771E51"/>
    <w:rsid w:val="0E7A2A61"/>
    <w:rsid w:val="0E8118C0"/>
    <w:rsid w:val="0E8D4772"/>
    <w:rsid w:val="0E9A17E3"/>
    <w:rsid w:val="0EA11114"/>
    <w:rsid w:val="0EA35AC0"/>
    <w:rsid w:val="0EB34961"/>
    <w:rsid w:val="0EB9447E"/>
    <w:rsid w:val="0EC468A2"/>
    <w:rsid w:val="0ECC4066"/>
    <w:rsid w:val="0ECE7C5F"/>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9A1758"/>
    <w:rsid w:val="109E67EE"/>
    <w:rsid w:val="10A83D9C"/>
    <w:rsid w:val="10B7486E"/>
    <w:rsid w:val="10CC5735"/>
    <w:rsid w:val="10FA45D2"/>
    <w:rsid w:val="11013F6E"/>
    <w:rsid w:val="11024527"/>
    <w:rsid w:val="110A4489"/>
    <w:rsid w:val="11150F62"/>
    <w:rsid w:val="111A28E5"/>
    <w:rsid w:val="112F54D2"/>
    <w:rsid w:val="1133321C"/>
    <w:rsid w:val="11461F96"/>
    <w:rsid w:val="114C3CA8"/>
    <w:rsid w:val="114D3A1D"/>
    <w:rsid w:val="11576536"/>
    <w:rsid w:val="11607F73"/>
    <w:rsid w:val="1164720A"/>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2F3"/>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9222FE"/>
    <w:rsid w:val="13AB3B97"/>
    <w:rsid w:val="13B35E26"/>
    <w:rsid w:val="13B57CFB"/>
    <w:rsid w:val="13B66BD2"/>
    <w:rsid w:val="13BF66BA"/>
    <w:rsid w:val="13C02EAF"/>
    <w:rsid w:val="13CA31CB"/>
    <w:rsid w:val="13CD1105"/>
    <w:rsid w:val="13DC36E2"/>
    <w:rsid w:val="13FE285E"/>
    <w:rsid w:val="14220CA7"/>
    <w:rsid w:val="143152F3"/>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8F4337"/>
    <w:rsid w:val="15933952"/>
    <w:rsid w:val="15AA7A19"/>
    <w:rsid w:val="15AC5259"/>
    <w:rsid w:val="15B06B12"/>
    <w:rsid w:val="15B75136"/>
    <w:rsid w:val="15B85832"/>
    <w:rsid w:val="15BE3D9D"/>
    <w:rsid w:val="15D4474D"/>
    <w:rsid w:val="15D7597F"/>
    <w:rsid w:val="15F509A2"/>
    <w:rsid w:val="160C437B"/>
    <w:rsid w:val="16160429"/>
    <w:rsid w:val="161C3234"/>
    <w:rsid w:val="16293079"/>
    <w:rsid w:val="1641433F"/>
    <w:rsid w:val="165C4863"/>
    <w:rsid w:val="16615E6B"/>
    <w:rsid w:val="1663476A"/>
    <w:rsid w:val="166C0D1B"/>
    <w:rsid w:val="167344C7"/>
    <w:rsid w:val="16794785"/>
    <w:rsid w:val="16853FE3"/>
    <w:rsid w:val="16936F51"/>
    <w:rsid w:val="1695742C"/>
    <w:rsid w:val="169D1595"/>
    <w:rsid w:val="16A31365"/>
    <w:rsid w:val="16A65B92"/>
    <w:rsid w:val="16AD0A57"/>
    <w:rsid w:val="16BA18A0"/>
    <w:rsid w:val="16C41FCF"/>
    <w:rsid w:val="16DC6856"/>
    <w:rsid w:val="16DD7985"/>
    <w:rsid w:val="16E7220A"/>
    <w:rsid w:val="16F7773E"/>
    <w:rsid w:val="16FD7F89"/>
    <w:rsid w:val="170133DA"/>
    <w:rsid w:val="170259E1"/>
    <w:rsid w:val="17026088"/>
    <w:rsid w:val="170353FD"/>
    <w:rsid w:val="171053FC"/>
    <w:rsid w:val="17343071"/>
    <w:rsid w:val="17382580"/>
    <w:rsid w:val="173D6B68"/>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2E1797"/>
    <w:rsid w:val="18331DAD"/>
    <w:rsid w:val="186B15D6"/>
    <w:rsid w:val="186C1CC6"/>
    <w:rsid w:val="186C1DBE"/>
    <w:rsid w:val="186E738D"/>
    <w:rsid w:val="187640ED"/>
    <w:rsid w:val="18804AA7"/>
    <w:rsid w:val="188F3539"/>
    <w:rsid w:val="189517F8"/>
    <w:rsid w:val="18A16B9A"/>
    <w:rsid w:val="18A43BAD"/>
    <w:rsid w:val="18AF5199"/>
    <w:rsid w:val="18B417E1"/>
    <w:rsid w:val="18D6360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8F1307"/>
    <w:rsid w:val="19966AAE"/>
    <w:rsid w:val="19A7296F"/>
    <w:rsid w:val="19AA7A76"/>
    <w:rsid w:val="19B94DE5"/>
    <w:rsid w:val="19BB7983"/>
    <w:rsid w:val="19D76F77"/>
    <w:rsid w:val="19DE7440"/>
    <w:rsid w:val="1A045B87"/>
    <w:rsid w:val="1A5F7253"/>
    <w:rsid w:val="1A725418"/>
    <w:rsid w:val="1A7A2EF9"/>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61E66"/>
    <w:rsid w:val="1C6D4144"/>
    <w:rsid w:val="1C726EC3"/>
    <w:rsid w:val="1C793EB9"/>
    <w:rsid w:val="1C807142"/>
    <w:rsid w:val="1C9A166E"/>
    <w:rsid w:val="1CAA7318"/>
    <w:rsid w:val="1CB702E9"/>
    <w:rsid w:val="1CBE5026"/>
    <w:rsid w:val="1CC72C9C"/>
    <w:rsid w:val="1CE73066"/>
    <w:rsid w:val="1CF333A5"/>
    <w:rsid w:val="1D031DDA"/>
    <w:rsid w:val="1D0B731D"/>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A71B0"/>
    <w:rsid w:val="1E1C27ED"/>
    <w:rsid w:val="1E1D7E95"/>
    <w:rsid w:val="1E224747"/>
    <w:rsid w:val="1E304B88"/>
    <w:rsid w:val="1E3E02E7"/>
    <w:rsid w:val="1E4C6B44"/>
    <w:rsid w:val="1E4E52FA"/>
    <w:rsid w:val="1E6703B7"/>
    <w:rsid w:val="1E680B85"/>
    <w:rsid w:val="1E7D3CB5"/>
    <w:rsid w:val="1E99605A"/>
    <w:rsid w:val="1E9D4737"/>
    <w:rsid w:val="1E9D55A8"/>
    <w:rsid w:val="1EA13E87"/>
    <w:rsid w:val="1EB745A6"/>
    <w:rsid w:val="1EC11B39"/>
    <w:rsid w:val="1ED94E25"/>
    <w:rsid w:val="1EDB6C5F"/>
    <w:rsid w:val="1EE6740D"/>
    <w:rsid w:val="1EEC60E1"/>
    <w:rsid w:val="1F111FAE"/>
    <w:rsid w:val="1F141EF2"/>
    <w:rsid w:val="1F303EA7"/>
    <w:rsid w:val="1F3C6AF7"/>
    <w:rsid w:val="1F405E44"/>
    <w:rsid w:val="1F4E681F"/>
    <w:rsid w:val="1F5324C1"/>
    <w:rsid w:val="1F6833F6"/>
    <w:rsid w:val="1F7959F4"/>
    <w:rsid w:val="1F7C19E4"/>
    <w:rsid w:val="1F7C6219"/>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4B5162"/>
    <w:rsid w:val="215F7E39"/>
    <w:rsid w:val="217C7971"/>
    <w:rsid w:val="217D44BC"/>
    <w:rsid w:val="21997056"/>
    <w:rsid w:val="219B2AEE"/>
    <w:rsid w:val="219D3F2A"/>
    <w:rsid w:val="21AB4F6A"/>
    <w:rsid w:val="21AB77F7"/>
    <w:rsid w:val="21BF03BC"/>
    <w:rsid w:val="21BF480E"/>
    <w:rsid w:val="21C51E19"/>
    <w:rsid w:val="21D06D34"/>
    <w:rsid w:val="21D52CEC"/>
    <w:rsid w:val="21FF71D8"/>
    <w:rsid w:val="2209399D"/>
    <w:rsid w:val="22101F8E"/>
    <w:rsid w:val="2225227E"/>
    <w:rsid w:val="222F6A23"/>
    <w:rsid w:val="224E39DE"/>
    <w:rsid w:val="224E74D0"/>
    <w:rsid w:val="226E6630"/>
    <w:rsid w:val="227F5037"/>
    <w:rsid w:val="228A008B"/>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C444AC"/>
    <w:rsid w:val="24D20A06"/>
    <w:rsid w:val="24F17428"/>
    <w:rsid w:val="25046C6C"/>
    <w:rsid w:val="250626FB"/>
    <w:rsid w:val="251403DC"/>
    <w:rsid w:val="251E0656"/>
    <w:rsid w:val="252053F9"/>
    <w:rsid w:val="25467DBB"/>
    <w:rsid w:val="25473E3C"/>
    <w:rsid w:val="254C6566"/>
    <w:rsid w:val="256343AC"/>
    <w:rsid w:val="257F18B5"/>
    <w:rsid w:val="25805FF5"/>
    <w:rsid w:val="258F15BB"/>
    <w:rsid w:val="259231BD"/>
    <w:rsid w:val="25A44D02"/>
    <w:rsid w:val="25A77DD4"/>
    <w:rsid w:val="25AF2922"/>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7D48C8"/>
    <w:rsid w:val="279408D2"/>
    <w:rsid w:val="27970434"/>
    <w:rsid w:val="279A2ED3"/>
    <w:rsid w:val="27B02558"/>
    <w:rsid w:val="27B91021"/>
    <w:rsid w:val="27C06D17"/>
    <w:rsid w:val="27E92B28"/>
    <w:rsid w:val="27FE4240"/>
    <w:rsid w:val="280008FF"/>
    <w:rsid w:val="28050D91"/>
    <w:rsid w:val="281035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753B9"/>
    <w:rsid w:val="291712DF"/>
    <w:rsid w:val="29192BE8"/>
    <w:rsid w:val="291C432F"/>
    <w:rsid w:val="292A375F"/>
    <w:rsid w:val="292F405F"/>
    <w:rsid w:val="29316984"/>
    <w:rsid w:val="293310A0"/>
    <w:rsid w:val="2938092A"/>
    <w:rsid w:val="293966D9"/>
    <w:rsid w:val="2946144E"/>
    <w:rsid w:val="294A5BC8"/>
    <w:rsid w:val="29504176"/>
    <w:rsid w:val="29566E4F"/>
    <w:rsid w:val="296B20A7"/>
    <w:rsid w:val="297D1A8B"/>
    <w:rsid w:val="29981CF5"/>
    <w:rsid w:val="29A4634A"/>
    <w:rsid w:val="29A84DD1"/>
    <w:rsid w:val="29AA2390"/>
    <w:rsid w:val="29B57686"/>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65DCA"/>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941AF"/>
    <w:rsid w:val="2BDC02CD"/>
    <w:rsid w:val="2BEC4F7F"/>
    <w:rsid w:val="2BF01DD3"/>
    <w:rsid w:val="2BF51B27"/>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FD5C64"/>
    <w:rsid w:val="2D0128E8"/>
    <w:rsid w:val="2D026B69"/>
    <w:rsid w:val="2D063D5B"/>
    <w:rsid w:val="2D0E231B"/>
    <w:rsid w:val="2D1A1A6B"/>
    <w:rsid w:val="2D1A4915"/>
    <w:rsid w:val="2D306B85"/>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46069F"/>
    <w:rsid w:val="2E4978FD"/>
    <w:rsid w:val="2E6F4813"/>
    <w:rsid w:val="2E705752"/>
    <w:rsid w:val="2E77470F"/>
    <w:rsid w:val="2E7B65BB"/>
    <w:rsid w:val="2E8F09A4"/>
    <w:rsid w:val="2E993370"/>
    <w:rsid w:val="2EA26ABE"/>
    <w:rsid w:val="2EA74B75"/>
    <w:rsid w:val="2EB61295"/>
    <w:rsid w:val="2EBA67BC"/>
    <w:rsid w:val="2EBD5807"/>
    <w:rsid w:val="2EEA307E"/>
    <w:rsid w:val="2EF53C20"/>
    <w:rsid w:val="2EFC5DDD"/>
    <w:rsid w:val="2F002CCF"/>
    <w:rsid w:val="2F0160A3"/>
    <w:rsid w:val="2F1556AD"/>
    <w:rsid w:val="2F18561C"/>
    <w:rsid w:val="2F1A491A"/>
    <w:rsid w:val="2F2960CC"/>
    <w:rsid w:val="2F2F3D52"/>
    <w:rsid w:val="2F3B7B8B"/>
    <w:rsid w:val="2F4530B9"/>
    <w:rsid w:val="2F4B7821"/>
    <w:rsid w:val="2F526911"/>
    <w:rsid w:val="2F712CF7"/>
    <w:rsid w:val="2F805714"/>
    <w:rsid w:val="2F8E5F5C"/>
    <w:rsid w:val="2FA21231"/>
    <w:rsid w:val="2FAD4759"/>
    <w:rsid w:val="2FBE19FB"/>
    <w:rsid w:val="2FCA0967"/>
    <w:rsid w:val="2FF117AD"/>
    <w:rsid w:val="2FF95633"/>
    <w:rsid w:val="30010F70"/>
    <w:rsid w:val="300F7F13"/>
    <w:rsid w:val="301E3C00"/>
    <w:rsid w:val="3045713F"/>
    <w:rsid w:val="30500A5C"/>
    <w:rsid w:val="30624456"/>
    <w:rsid w:val="307273BE"/>
    <w:rsid w:val="30752E77"/>
    <w:rsid w:val="30757D3C"/>
    <w:rsid w:val="308018A6"/>
    <w:rsid w:val="30804E19"/>
    <w:rsid w:val="3090288F"/>
    <w:rsid w:val="309A51D1"/>
    <w:rsid w:val="309B0CFB"/>
    <w:rsid w:val="309E4272"/>
    <w:rsid w:val="30B7307E"/>
    <w:rsid w:val="30C420FA"/>
    <w:rsid w:val="30DC45E8"/>
    <w:rsid w:val="30DD6027"/>
    <w:rsid w:val="30DE16AB"/>
    <w:rsid w:val="30F44A95"/>
    <w:rsid w:val="30F77A98"/>
    <w:rsid w:val="30FA21D8"/>
    <w:rsid w:val="31005524"/>
    <w:rsid w:val="310F3D38"/>
    <w:rsid w:val="311D5B14"/>
    <w:rsid w:val="3124023B"/>
    <w:rsid w:val="312D1F98"/>
    <w:rsid w:val="3139502B"/>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F1DD8"/>
    <w:rsid w:val="32666821"/>
    <w:rsid w:val="326B7BBB"/>
    <w:rsid w:val="327A3DD6"/>
    <w:rsid w:val="327E6AD8"/>
    <w:rsid w:val="32946A84"/>
    <w:rsid w:val="32AB1C6F"/>
    <w:rsid w:val="32B104CD"/>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85879"/>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D2439"/>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9B386E"/>
    <w:rsid w:val="36B121C7"/>
    <w:rsid w:val="36B2486C"/>
    <w:rsid w:val="36CA30ED"/>
    <w:rsid w:val="36D27C18"/>
    <w:rsid w:val="36D512A9"/>
    <w:rsid w:val="36EA7394"/>
    <w:rsid w:val="36F414F3"/>
    <w:rsid w:val="37002C93"/>
    <w:rsid w:val="370974B4"/>
    <w:rsid w:val="371E6151"/>
    <w:rsid w:val="37277663"/>
    <w:rsid w:val="372A07F2"/>
    <w:rsid w:val="37357964"/>
    <w:rsid w:val="37372F70"/>
    <w:rsid w:val="37446333"/>
    <w:rsid w:val="37446A77"/>
    <w:rsid w:val="374D0B20"/>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C90FA0"/>
    <w:rsid w:val="38CE5927"/>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444C7"/>
    <w:rsid w:val="395753F2"/>
    <w:rsid w:val="39782007"/>
    <w:rsid w:val="397E700C"/>
    <w:rsid w:val="39834074"/>
    <w:rsid w:val="39885108"/>
    <w:rsid w:val="39907940"/>
    <w:rsid w:val="399602F5"/>
    <w:rsid w:val="399B5B0D"/>
    <w:rsid w:val="399E04E3"/>
    <w:rsid w:val="39A05979"/>
    <w:rsid w:val="39BB78F7"/>
    <w:rsid w:val="39BC428E"/>
    <w:rsid w:val="39C46549"/>
    <w:rsid w:val="39CA1A60"/>
    <w:rsid w:val="39D3749A"/>
    <w:rsid w:val="39DC3BC3"/>
    <w:rsid w:val="39DD49C2"/>
    <w:rsid w:val="39DD4ACE"/>
    <w:rsid w:val="39E02DD2"/>
    <w:rsid w:val="39E513A7"/>
    <w:rsid w:val="39E70CEA"/>
    <w:rsid w:val="39EC7454"/>
    <w:rsid w:val="39FD2FB3"/>
    <w:rsid w:val="3A1A155D"/>
    <w:rsid w:val="3A237175"/>
    <w:rsid w:val="3A6B2D0D"/>
    <w:rsid w:val="3A711C68"/>
    <w:rsid w:val="3A796E46"/>
    <w:rsid w:val="3A8B3C77"/>
    <w:rsid w:val="3A9A224E"/>
    <w:rsid w:val="3A9C1F8C"/>
    <w:rsid w:val="3A9D2551"/>
    <w:rsid w:val="3AA15A8E"/>
    <w:rsid w:val="3AA97F70"/>
    <w:rsid w:val="3ABF42F5"/>
    <w:rsid w:val="3AC3080D"/>
    <w:rsid w:val="3AFD37D0"/>
    <w:rsid w:val="3B016EE9"/>
    <w:rsid w:val="3B075C4E"/>
    <w:rsid w:val="3B0E6B93"/>
    <w:rsid w:val="3B3A132E"/>
    <w:rsid w:val="3B456D7F"/>
    <w:rsid w:val="3B5E261D"/>
    <w:rsid w:val="3B616FBE"/>
    <w:rsid w:val="3B683A4D"/>
    <w:rsid w:val="3B69534A"/>
    <w:rsid w:val="3B6F5B73"/>
    <w:rsid w:val="3B7B1D0B"/>
    <w:rsid w:val="3B873119"/>
    <w:rsid w:val="3BA35FC1"/>
    <w:rsid w:val="3BA566FD"/>
    <w:rsid w:val="3BA7008A"/>
    <w:rsid w:val="3BB47D9F"/>
    <w:rsid w:val="3BB743FC"/>
    <w:rsid w:val="3BB85731"/>
    <w:rsid w:val="3BBD4984"/>
    <w:rsid w:val="3BDE5F43"/>
    <w:rsid w:val="3BF10AAD"/>
    <w:rsid w:val="3C042946"/>
    <w:rsid w:val="3C064030"/>
    <w:rsid w:val="3C070D59"/>
    <w:rsid w:val="3C0E09BE"/>
    <w:rsid w:val="3C0F1954"/>
    <w:rsid w:val="3C1071B6"/>
    <w:rsid w:val="3C1E391D"/>
    <w:rsid w:val="3C294498"/>
    <w:rsid w:val="3C333216"/>
    <w:rsid w:val="3C36018F"/>
    <w:rsid w:val="3C430136"/>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29222C"/>
    <w:rsid w:val="3D3728EF"/>
    <w:rsid w:val="3D424FBD"/>
    <w:rsid w:val="3D47670E"/>
    <w:rsid w:val="3D58163A"/>
    <w:rsid w:val="3D5A05E2"/>
    <w:rsid w:val="3D5C63D4"/>
    <w:rsid w:val="3D5E50E6"/>
    <w:rsid w:val="3D6B0009"/>
    <w:rsid w:val="3D7618FA"/>
    <w:rsid w:val="3D766E42"/>
    <w:rsid w:val="3D791797"/>
    <w:rsid w:val="3D8522AA"/>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419DC"/>
    <w:rsid w:val="3E4B2DC3"/>
    <w:rsid w:val="3E5D67B7"/>
    <w:rsid w:val="3E604D61"/>
    <w:rsid w:val="3E623E46"/>
    <w:rsid w:val="3E7A1C88"/>
    <w:rsid w:val="3E862069"/>
    <w:rsid w:val="3E87258B"/>
    <w:rsid w:val="3E8B095A"/>
    <w:rsid w:val="3E8D66A1"/>
    <w:rsid w:val="3E8E6C82"/>
    <w:rsid w:val="3E943FDD"/>
    <w:rsid w:val="3E9A19C5"/>
    <w:rsid w:val="3E9A3250"/>
    <w:rsid w:val="3EAC3BDD"/>
    <w:rsid w:val="3EB767A1"/>
    <w:rsid w:val="3EC3405D"/>
    <w:rsid w:val="3ECF0F50"/>
    <w:rsid w:val="3ECF234A"/>
    <w:rsid w:val="3ED41E72"/>
    <w:rsid w:val="3ED671CD"/>
    <w:rsid w:val="3EE14A57"/>
    <w:rsid w:val="3EE21263"/>
    <w:rsid w:val="3F0F61E5"/>
    <w:rsid w:val="3F144192"/>
    <w:rsid w:val="3F1C15E5"/>
    <w:rsid w:val="3F217DDA"/>
    <w:rsid w:val="3F441B08"/>
    <w:rsid w:val="3F4A4087"/>
    <w:rsid w:val="3F5361F5"/>
    <w:rsid w:val="3F791853"/>
    <w:rsid w:val="3F952814"/>
    <w:rsid w:val="3FA41C63"/>
    <w:rsid w:val="3FAB3D87"/>
    <w:rsid w:val="3FAB41A2"/>
    <w:rsid w:val="3FAE47F6"/>
    <w:rsid w:val="3FE210C1"/>
    <w:rsid w:val="3FEB1C22"/>
    <w:rsid w:val="400A1CFC"/>
    <w:rsid w:val="403D2BF3"/>
    <w:rsid w:val="40400533"/>
    <w:rsid w:val="405656F0"/>
    <w:rsid w:val="405A424E"/>
    <w:rsid w:val="406D461C"/>
    <w:rsid w:val="406F7D87"/>
    <w:rsid w:val="40724BB6"/>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8B6310"/>
    <w:rsid w:val="439C3431"/>
    <w:rsid w:val="439D0E7C"/>
    <w:rsid w:val="43A26A83"/>
    <w:rsid w:val="43AD6EA2"/>
    <w:rsid w:val="43B8346E"/>
    <w:rsid w:val="43CA143F"/>
    <w:rsid w:val="43D67A91"/>
    <w:rsid w:val="43E21F58"/>
    <w:rsid w:val="43E35EF0"/>
    <w:rsid w:val="43F76F69"/>
    <w:rsid w:val="43FC0DB2"/>
    <w:rsid w:val="444109FB"/>
    <w:rsid w:val="4449152D"/>
    <w:rsid w:val="444E22EA"/>
    <w:rsid w:val="44584267"/>
    <w:rsid w:val="445973AC"/>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95797"/>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1F236C"/>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902F5"/>
    <w:rsid w:val="4AF94D42"/>
    <w:rsid w:val="4AFB33B6"/>
    <w:rsid w:val="4B376E2E"/>
    <w:rsid w:val="4B385AE2"/>
    <w:rsid w:val="4B53122B"/>
    <w:rsid w:val="4B5C07AE"/>
    <w:rsid w:val="4B705844"/>
    <w:rsid w:val="4B7224D0"/>
    <w:rsid w:val="4B7A3C96"/>
    <w:rsid w:val="4B7D4F5D"/>
    <w:rsid w:val="4B82716C"/>
    <w:rsid w:val="4B8A2918"/>
    <w:rsid w:val="4B901807"/>
    <w:rsid w:val="4B9B25E4"/>
    <w:rsid w:val="4BA05B67"/>
    <w:rsid w:val="4BAD4CA2"/>
    <w:rsid w:val="4BC456EF"/>
    <w:rsid w:val="4BC647B0"/>
    <w:rsid w:val="4BDF4B49"/>
    <w:rsid w:val="4BE57E16"/>
    <w:rsid w:val="4BE819D0"/>
    <w:rsid w:val="4BE8649D"/>
    <w:rsid w:val="4C0236B4"/>
    <w:rsid w:val="4C0F247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317D4"/>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83E33"/>
    <w:rsid w:val="4F9B5328"/>
    <w:rsid w:val="4FAB3627"/>
    <w:rsid w:val="4FB40C2C"/>
    <w:rsid w:val="4FBA52BE"/>
    <w:rsid w:val="4FBB5569"/>
    <w:rsid w:val="4FBF1E32"/>
    <w:rsid w:val="4FC546A5"/>
    <w:rsid w:val="4FC803AA"/>
    <w:rsid w:val="4FD365FC"/>
    <w:rsid w:val="4FD62D61"/>
    <w:rsid w:val="4FDC6418"/>
    <w:rsid w:val="4FE15781"/>
    <w:rsid w:val="4FE3603D"/>
    <w:rsid w:val="4FF5506D"/>
    <w:rsid w:val="4FFF3806"/>
    <w:rsid w:val="50046739"/>
    <w:rsid w:val="50095827"/>
    <w:rsid w:val="50100572"/>
    <w:rsid w:val="50186BF6"/>
    <w:rsid w:val="501F194B"/>
    <w:rsid w:val="50287F92"/>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A5890"/>
    <w:rsid w:val="51DD4DBF"/>
    <w:rsid w:val="51EE7B3E"/>
    <w:rsid w:val="51F96848"/>
    <w:rsid w:val="52073487"/>
    <w:rsid w:val="521C5D43"/>
    <w:rsid w:val="521D7ED7"/>
    <w:rsid w:val="5239194F"/>
    <w:rsid w:val="52612620"/>
    <w:rsid w:val="526A546C"/>
    <w:rsid w:val="52790FD9"/>
    <w:rsid w:val="528C5E23"/>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DF688B"/>
    <w:rsid w:val="54E95643"/>
    <w:rsid w:val="54EF1DA8"/>
    <w:rsid w:val="550E6C32"/>
    <w:rsid w:val="551C2E90"/>
    <w:rsid w:val="554E0863"/>
    <w:rsid w:val="555737A6"/>
    <w:rsid w:val="55611FED"/>
    <w:rsid w:val="556C1CC4"/>
    <w:rsid w:val="55712540"/>
    <w:rsid w:val="5577741D"/>
    <w:rsid w:val="558126EC"/>
    <w:rsid w:val="55883669"/>
    <w:rsid w:val="558A44CE"/>
    <w:rsid w:val="559537DA"/>
    <w:rsid w:val="559B1C17"/>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315C1A"/>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E11C9B"/>
    <w:rsid w:val="59EB0D06"/>
    <w:rsid w:val="59F511B7"/>
    <w:rsid w:val="59FC124B"/>
    <w:rsid w:val="59FF130C"/>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896F76"/>
    <w:rsid w:val="5B975E5B"/>
    <w:rsid w:val="5B9C0984"/>
    <w:rsid w:val="5BB214B7"/>
    <w:rsid w:val="5BB333FF"/>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E033F"/>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DFB672A"/>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734371"/>
    <w:rsid w:val="6085543E"/>
    <w:rsid w:val="60907882"/>
    <w:rsid w:val="609517E9"/>
    <w:rsid w:val="609A2B73"/>
    <w:rsid w:val="60B340CC"/>
    <w:rsid w:val="60BA0952"/>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963257"/>
    <w:rsid w:val="619C38B4"/>
    <w:rsid w:val="61A4486B"/>
    <w:rsid w:val="61AB17E3"/>
    <w:rsid w:val="61B33DDF"/>
    <w:rsid w:val="61BB4A1B"/>
    <w:rsid w:val="61BC23E5"/>
    <w:rsid w:val="61D21120"/>
    <w:rsid w:val="61E728F9"/>
    <w:rsid w:val="61F3667F"/>
    <w:rsid w:val="61FB110C"/>
    <w:rsid w:val="620B2B74"/>
    <w:rsid w:val="62185165"/>
    <w:rsid w:val="623A0D05"/>
    <w:rsid w:val="62460FCD"/>
    <w:rsid w:val="62480FF0"/>
    <w:rsid w:val="624B14C1"/>
    <w:rsid w:val="62630C6B"/>
    <w:rsid w:val="627301E8"/>
    <w:rsid w:val="6295194F"/>
    <w:rsid w:val="62A166CD"/>
    <w:rsid w:val="62BA3B2B"/>
    <w:rsid w:val="62C37511"/>
    <w:rsid w:val="62C85E02"/>
    <w:rsid w:val="62D11C3F"/>
    <w:rsid w:val="62E157FC"/>
    <w:rsid w:val="62E81148"/>
    <w:rsid w:val="62F76986"/>
    <w:rsid w:val="63074CE8"/>
    <w:rsid w:val="632E4574"/>
    <w:rsid w:val="632F06D8"/>
    <w:rsid w:val="63317698"/>
    <w:rsid w:val="63340EAE"/>
    <w:rsid w:val="63443DC2"/>
    <w:rsid w:val="634B6A95"/>
    <w:rsid w:val="634E4E26"/>
    <w:rsid w:val="634F6CB9"/>
    <w:rsid w:val="63615D3E"/>
    <w:rsid w:val="63683422"/>
    <w:rsid w:val="636C62BA"/>
    <w:rsid w:val="63780882"/>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2C3291"/>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79372B"/>
    <w:rsid w:val="667B3C56"/>
    <w:rsid w:val="667C7571"/>
    <w:rsid w:val="66980BF6"/>
    <w:rsid w:val="66B81454"/>
    <w:rsid w:val="66BE1292"/>
    <w:rsid w:val="66BF76F1"/>
    <w:rsid w:val="66CA551F"/>
    <w:rsid w:val="66DA3497"/>
    <w:rsid w:val="66DC5BF8"/>
    <w:rsid w:val="66E173F9"/>
    <w:rsid w:val="66E3226C"/>
    <w:rsid w:val="66E53BAE"/>
    <w:rsid w:val="66E611A7"/>
    <w:rsid w:val="66EC5E36"/>
    <w:rsid w:val="671235C9"/>
    <w:rsid w:val="67181932"/>
    <w:rsid w:val="672A4901"/>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80965F8"/>
    <w:rsid w:val="680D13A6"/>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623C1"/>
    <w:rsid w:val="68DD619B"/>
    <w:rsid w:val="68FD5593"/>
    <w:rsid w:val="691B307E"/>
    <w:rsid w:val="69301A1D"/>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46648"/>
    <w:rsid w:val="69BA2288"/>
    <w:rsid w:val="69D537ED"/>
    <w:rsid w:val="69DC3AC1"/>
    <w:rsid w:val="69DF7D47"/>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6150E"/>
    <w:rsid w:val="6C155F31"/>
    <w:rsid w:val="6C206E21"/>
    <w:rsid w:val="6C263A06"/>
    <w:rsid w:val="6C3A624E"/>
    <w:rsid w:val="6C3F4795"/>
    <w:rsid w:val="6C431738"/>
    <w:rsid w:val="6C4B236C"/>
    <w:rsid w:val="6C505966"/>
    <w:rsid w:val="6C5D04BB"/>
    <w:rsid w:val="6C602F61"/>
    <w:rsid w:val="6C666C3C"/>
    <w:rsid w:val="6C6833E1"/>
    <w:rsid w:val="6C8E4315"/>
    <w:rsid w:val="6C8F0287"/>
    <w:rsid w:val="6C95615F"/>
    <w:rsid w:val="6CA94419"/>
    <w:rsid w:val="6CB242A2"/>
    <w:rsid w:val="6CB33052"/>
    <w:rsid w:val="6CC818AD"/>
    <w:rsid w:val="6CCC57DD"/>
    <w:rsid w:val="6CE0612A"/>
    <w:rsid w:val="6CE269D3"/>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71839"/>
    <w:rsid w:val="6DB20233"/>
    <w:rsid w:val="6DC31534"/>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557589"/>
    <w:rsid w:val="6F607895"/>
    <w:rsid w:val="6F61040C"/>
    <w:rsid w:val="6F6776E1"/>
    <w:rsid w:val="6F702CF5"/>
    <w:rsid w:val="6F7E1B78"/>
    <w:rsid w:val="6F9C5D71"/>
    <w:rsid w:val="6FA3781E"/>
    <w:rsid w:val="6FAF5C06"/>
    <w:rsid w:val="6FB773B8"/>
    <w:rsid w:val="6FB80EE8"/>
    <w:rsid w:val="6FD36624"/>
    <w:rsid w:val="6FE53444"/>
    <w:rsid w:val="6FF1528E"/>
    <w:rsid w:val="6FFB167C"/>
    <w:rsid w:val="700C0460"/>
    <w:rsid w:val="70170F2B"/>
    <w:rsid w:val="701E2FAB"/>
    <w:rsid w:val="702267D2"/>
    <w:rsid w:val="70370653"/>
    <w:rsid w:val="70387A8F"/>
    <w:rsid w:val="70680AC8"/>
    <w:rsid w:val="706D51B8"/>
    <w:rsid w:val="70767F2C"/>
    <w:rsid w:val="707E62BB"/>
    <w:rsid w:val="70802E35"/>
    <w:rsid w:val="7086140B"/>
    <w:rsid w:val="70910C43"/>
    <w:rsid w:val="709C671C"/>
    <w:rsid w:val="709E4E34"/>
    <w:rsid w:val="709E640C"/>
    <w:rsid w:val="70A156F4"/>
    <w:rsid w:val="70A67032"/>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9244FE"/>
    <w:rsid w:val="72A310CE"/>
    <w:rsid w:val="72B450C8"/>
    <w:rsid w:val="72B751B8"/>
    <w:rsid w:val="72CE3184"/>
    <w:rsid w:val="72CE7D06"/>
    <w:rsid w:val="72D456A5"/>
    <w:rsid w:val="72E70D52"/>
    <w:rsid w:val="72EA6B66"/>
    <w:rsid w:val="72FA604C"/>
    <w:rsid w:val="7302733B"/>
    <w:rsid w:val="731649D2"/>
    <w:rsid w:val="731C28E7"/>
    <w:rsid w:val="7326097A"/>
    <w:rsid w:val="7327699F"/>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941A44"/>
    <w:rsid w:val="74AE3849"/>
    <w:rsid w:val="74B06962"/>
    <w:rsid w:val="74B32215"/>
    <w:rsid w:val="74B74563"/>
    <w:rsid w:val="74C46840"/>
    <w:rsid w:val="74D575AA"/>
    <w:rsid w:val="74D71DDE"/>
    <w:rsid w:val="74DA7956"/>
    <w:rsid w:val="74DD44F7"/>
    <w:rsid w:val="74E11F86"/>
    <w:rsid w:val="74FB509B"/>
    <w:rsid w:val="74FB6035"/>
    <w:rsid w:val="750934A8"/>
    <w:rsid w:val="750A15E4"/>
    <w:rsid w:val="752B3381"/>
    <w:rsid w:val="75376E15"/>
    <w:rsid w:val="75457EFF"/>
    <w:rsid w:val="75523AE5"/>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50A9F"/>
    <w:rsid w:val="76FD2D1D"/>
    <w:rsid w:val="77187F65"/>
    <w:rsid w:val="77281165"/>
    <w:rsid w:val="7729766A"/>
    <w:rsid w:val="772D35A6"/>
    <w:rsid w:val="773A62B8"/>
    <w:rsid w:val="77422DC5"/>
    <w:rsid w:val="774B3934"/>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6D70E2"/>
    <w:rsid w:val="786E5400"/>
    <w:rsid w:val="787659AD"/>
    <w:rsid w:val="7888219B"/>
    <w:rsid w:val="788908C8"/>
    <w:rsid w:val="788A5AEB"/>
    <w:rsid w:val="78993306"/>
    <w:rsid w:val="78BC539D"/>
    <w:rsid w:val="78C134B0"/>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D0DE3"/>
    <w:rsid w:val="79ED6701"/>
    <w:rsid w:val="79F123BD"/>
    <w:rsid w:val="79FB2D0B"/>
    <w:rsid w:val="7A052E17"/>
    <w:rsid w:val="7A0F1525"/>
    <w:rsid w:val="7A110616"/>
    <w:rsid w:val="7A475D70"/>
    <w:rsid w:val="7A4D07BA"/>
    <w:rsid w:val="7A5863D3"/>
    <w:rsid w:val="7A64499E"/>
    <w:rsid w:val="7A6656B6"/>
    <w:rsid w:val="7A684229"/>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A17C6"/>
    <w:rsid w:val="7BAB7079"/>
    <w:rsid w:val="7BB145C1"/>
    <w:rsid w:val="7BB2241E"/>
    <w:rsid w:val="7BC17EBE"/>
    <w:rsid w:val="7BC43666"/>
    <w:rsid w:val="7BC8293C"/>
    <w:rsid w:val="7BC87053"/>
    <w:rsid w:val="7BDB77EE"/>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750E81"/>
    <w:rsid w:val="7E9044A6"/>
    <w:rsid w:val="7E922E52"/>
    <w:rsid w:val="7E924210"/>
    <w:rsid w:val="7EA87297"/>
    <w:rsid w:val="7EB56059"/>
    <w:rsid w:val="7EB73383"/>
    <w:rsid w:val="7EC22792"/>
    <w:rsid w:val="7EC57DB4"/>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A069EC"/>
    <w:rsid w:val="7FA825A7"/>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2022-02-14T15:59:14Z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